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BF0" w:rsidRPr="00BB3B74" w:rsidRDefault="00BB3B74" w:rsidP="00BB3B74">
      <w:pPr>
        <w:pStyle w:val="Heading1"/>
        <w:spacing w:before="0" w:after="240"/>
        <w:rPr>
          <w:rFonts w:ascii="Arial" w:hAnsi="Arial" w:cs="Arial"/>
          <w:color w:val="auto"/>
          <w:sz w:val="40"/>
          <w:szCs w:val="40"/>
        </w:rPr>
      </w:pPr>
      <w:bookmarkStart w:id="0" w:name="_GoBack"/>
      <w:bookmarkEnd w:id="0"/>
      <w:r w:rsidRPr="00BB3B74">
        <w:rPr>
          <w:rFonts w:ascii="Arial" w:hAnsi="Arial" w:cs="Arial"/>
          <w:color w:val="auto"/>
          <w:sz w:val="40"/>
          <w:szCs w:val="40"/>
        </w:rPr>
        <w:t>Capacity Market’s Legal Structure</w:t>
      </w:r>
    </w:p>
    <w:p w:rsidR="00060FBD" w:rsidRPr="00BB3B74" w:rsidRDefault="00BB3B74" w:rsidP="00BB3B74">
      <w:pPr>
        <w:pStyle w:val="Heading2"/>
        <w:spacing w:before="0" w:after="240"/>
        <w:rPr>
          <w:rFonts w:ascii="Arial" w:hAnsi="Arial" w:cs="Arial"/>
          <w:color w:val="auto"/>
          <w:sz w:val="28"/>
          <w:szCs w:val="28"/>
        </w:rPr>
      </w:pPr>
      <w:r w:rsidRPr="00BB3B74">
        <w:rPr>
          <w:rFonts w:ascii="Arial" w:hAnsi="Arial" w:cs="Arial"/>
          <w:color w:val="auto"/>
          <w:sz w:val="28"/>
          <w:szCs w:val="28"/>
        </w:rPr>
        <w:t>Proposed high-level structure</w:t>
      </w:r>
    </w:p>
    <w:tbl>
      <w:tblPr>
        <w:tblStyle w:val="TableGrid"/>
        <w:tblW w:w="0" w:type="auto"/>
        <w:tblInd w:w="2376" w:type="dxa"/>
        <w:tblLook w:val="04A0" w:firstRow="1" w:lastRow="0" w:firstColumn="1" w:lastColumn="0" w:noHBand="0" w:noVBand="1"/>
      </w:tblPr>
      <w:tblGrid>
        <w:gridCol w:w="3828"/>
      </w:tblGrid>
      <w:tr w:rsidR="00EF0BC3" w:rsidTr="00EF0BC3">
        <w:tc>
          <w:tcPr>
            <w:tcW w:w="3828" w:type="dxa"/>
          </w:tcPr>
          <w:p w:rsidR="00EF0BC3" w:rsidRPr="00255FFF" w:rsidRDefault="00EF0BC3" w:rsidP="00EF0BC3">
            <w:pPr>
              <w:spacing w:before="120" w:after="120"/>
              <w:jc w:val="center"/>
              <w:rPr>
                <w:rFonts w:ascii="Arial" w:hAnsi="Arial" w:cs="Arial"/>
                <w:b/>
                <w:sz w:val="20"/>
                <w:szCs w:val="20"/>
              </w:rPr>
            </w:pPr>
            <w:r w:rsidRPr="00255FFF">
              <w:rPr>
                <w:rFonts w:ascii="Arial" w:hAnsi="Arial" w:cs="Arial"/>
                <w:b/>
                <w:sz w:val="20"/>
                <w:szCs w:val="20"/>
              </w:rPr>
              <w:t>Energy Act (currently Energy Bill)</w:t>
            </w:r>
          </w:p>
        </w:tc>
      </w:tr>
    </w:tbl>
    <w:p w:rsidR="00BB3B74" w:rsidRDefault="00EF0BC3" w:rsidP="00BB3B74">
      <w:pPr>
        <w:spacing w:after="240"/>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2553195</wp:posOffset>
                </wp:positionH>
                <wp:positionV relativeFrom="paragraph">
                  <wp:posOffset>-1872</wp:posOffset>
                </wp:positionV>
                <wp:extent cx="249381" cy="332509"/>
                <wp:effectExtent l="19050" t="0" r="17780" b="29845"/>
                <wp:wrapNone/>
                <wp:docPr id="1" name="Down Arrow 1"/>
                <wp:cNvGraphicFramePr/>
                <a:graphic xmlns:a="http://schemas.openxmlformats.org/drawingml/2006/main">
                  <a:graphicData uri="http://schemas.microsoft.com/office/word/2010/wordprocessingShape">
                    <wps:wsp>
                      <wps:cNvSpPr/>
                      <wps:spPr>
                        <a:xfrm>
                          <a:off x="0" y="0"/>
                          <a:ext cx="249381" cy="332509"/>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201.05pt;margin-top:-.15pt;width:19.65pt;height:2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" adj="13500" fillcolor="black [3200]" strokecolor="black [1600]" strokeweight="2pt"/>
            </w:pict>
          </mc:Fallback>
        </mc:AlternateContent>
      </w:r>
    </w:p>
    <w:tbl>
      <w:tblPr>
        <w:tblStyle w:val="TableGrid"/>
        <w:tblW w:w="10774" w:type="dxa"/>
        <w:tblInd w:w="-743" w:type="dxa"/>
        <w:tblLook w:val="04A0" w:firstRow="1" w:lastRow="0" w:firstColumn="1" w:lastColumn="0" w:noHBand="0" w:noVBand="1"/>
      </w:tblPr>
      <w:tblGrid>
        <w:gridCol w:w="10774"/>
      </w:tblGrid>
      <w:tr w:rsidR="00EF0BC3" w:rsidTr="008B3AA2">
        <w:tc>
          <w:tcPr>
            <w:tcW w:w="10774" w:type="dxa"/>
          </w:tcPr>
          <w:p w:rsidR="00EF0BC3" w:rsidRPr="00255FFF" w:rsidRDefault="00EF0BC3" w:rsidP="00EF0BC3">
            <w:pPr>
              <w:spacing w:before="120" w:after="120"/>
              <w:jc w:val="center"/>
              <w:rPr>
                <w:rFonts w:ascii="Arial" w:hAnsi="Arial" w:cs="Arial"/>
                <w:b/>
                <w:sz w:val="20"/>
                <w:szCs w:val="20"/>
              </w:rPr>
            </w:pPr>
            <w:r w:rsidRPr="00255FFF">
              <w:rPr>
                <w:rFonts w:ascii="Arial" w:hAnsi="Arial" w:cs="Arial"/>
                <w:b/>
                <w:sz w:val="20"/>
                <w:szCs w:val="20"/>
              </w:rPr>
              <w:t>Electricity Capacity Regulations</w:t>
            </w:r>
          </w:p>
          <w:p w:rsidR="00EF0BC3" w:rsidRPr="00255FFF" w:rsidRDefault="00EF0BC3" w:rsidP="00EF0BC3">
            <w:pPr>
              <w:spacing w:before="120" w:after="120"/>
              <w:rPr>
                <w:rFonts w:ascii="Arial" w:hAnsi="Arial" w:cs="Arial"/>
                <w:sz w:val="20"/>
                <w:szCs w:val="20"/>
              </w:rPr>
            </w:pPr>
            <w:r w:rsidRPr="00255FFF">
              <w:rPr>
                <w:rFonts w:ascii="Arial" w:hAnsi="Arial" w:cs="Arial"/>
                <w:sz w:val="20"/>
                <w:szCs w:val="20"/>
              </w:rPr>
              <w:t>As set out in the Energy Act [Bill] the Electricity Capacity Regulations will contain the high-level requirements in relation to the Capacity Market</w:t>
            </w:r>
            <w:r w:rsidR="00E9674C">
              <w:rPr>
                <w:rFonts w:ascii="Arial" w:hAnsi="Arial" w:cs="Arial"/>
                <w:sz w:val="20"/>
                <w:szCs w:val="20"/>
              </w:rPr>
              <w:t xml:space="preserve"> and detailed provision of some matters (e.g. payment and settlement)</w:t>
            </w:r>
            <w:r w:rsidRPr="00255FFF">
              <w:rPr>
                <w:rFonts w:ascii="Arial" w:hAnsi="Arial" w:cs="Arial"/>
                <w:sz w:val="20"/>
                <w:szCs w:val="20"/>
              </w:rPr>
              <w:t xml:space="preserve">. </w:t>
            </w:r>
            <w:r w:rsidR="00972486" w:rsidRPr="00255FFF">
              <w:rPr>
                <w:rFonts w:ascii="Arial" w:hAnsi="Arial" w:cs="Arial"/>
                <w:sz w:val="20"/>
                <w:szCs w:val="20"/>
              </w:rPr>
              <w:t>They must be made by statutory instrument.</w:t>
            </w:r>
            <w:r w:rsidR="00E9674C">
              <w:rPr>
                <w:rFonts w:ascii="Arial" w:hAnsi="Arial" w:cs="Arial"/>
                <w:sz w:val="20"/>
                <w:szCs w:val="20"/>
              </w:rPr>
              <w:t xml:space="preserve"> </w:t>
            </w:r>
            <w:r w:rsidRPr="00255FFF">
              <w:rPr>
                <w:rFonts w:ascii="Arial" w:hAnsi="Arial" w:cs="Arial"/>
                <w:sz w:val="20"/>
                <w:szCs w:val="20"/>
              </w:rPr>
              <w:t xml:space="preserve">The Regulations </w:t>
            </w:r>
            <w:r w:rsidR="00E9674C">
              <w:rPr>
                <w:rFonts w:ascii="Arial" w:hAnsi="Arial" w:cs="Arial"/>
                <w:sz w:val="20"/>
                <w:szCs w:val="20"/>
              </w:rPr>
              <w:t xml:space="preserve">are likely to </w:t>
            </w:r>
            <w:r w:rsidRPr="00255FFF">
              <w:rPr>
                <w:rFonts w:ascii="Arial" w:hAnsi="Arial" w:cs="Arial"/>
                <w:sz w:val="20"/>
                <w:szCs w:val="20"/>
              </w:rPr>
              <w:t>cover:</w:t>
            </w:r>
          </w:p>
          <w:p w:rsidR="00EF0BC3" w:rsidRPr="00255FFF" w:rsidRDefault="004258A4" w:rsidP="004258A4">
            <w:pPr>
              <w:pStyle w:val="ListParagraph"/>
              <w:numPr>
                <w:ilvl w:val="0"/>
                <w:numId w:val="1"/>
              </w:numPr>
              <w:spacing w:before="120" w:after="120"/>
              <w:rPr>
                <w:rFonts w:ascii="Arial" w:hAnsi="Arial" w:cs="Arial"/>
                <w:sz w:val="20"/>
                <w:szCs w:val="20"/>
              </w:rPr>
            </w:pPr>
            <w:r w:rsidRPr="00255FFF">
              <w:rPr>
                <w:rFonts w:ascii="Arial" w:hAnsi="Arial" w:cs="Arial"/>
                <w:sz w:val="20"/>
                <w:szCs w:val="20"/>
              </w:rPr>
              <w:t>Functions of the Secretary of State</w:t>
            </w:r>
          </w:p>
          <w:p w:rsidR="004258A4" w:rsidRPr="00255FFF" w:rsidRDefault="004258A4" w:rsidP="004258A4">
            <w:pPr>
              <w:pStyle w:val="ListParagraph"/>
              <w:numPr>
                <w:ilvl w:val="0"/>
                <w:numId w:val="1"/>
              </w:numPr>
              <w:spacing w:before="120" w:after="120"/>
              <w:rPr>
                <w:rFonts w:ascii="Arial" w:hAnsi="Arial" w:cs="Arial"/>
                <w:sz w:val="20"/>
                <w:szCs w:val="20"/>
              </w:rPr>
            </w:pPr>
            <w:r w:rsidRPr="00255FFF">
              <w:rPr>
                <w:rFonts w:ascii="Arial" w:hAnsi="Arial" w:cs="Arial"/>
                <w:sz w:val="20"/>
                <w:szCs w:val="20"/>
              </w:rPr>
              <w:t>Functions of the Authority and National System Operator</w:t>
            </w:r>
          </w:p>
          <w:p w:rsidR="004258A4" w:rsidRPr="00255FFF" w:rsidRDefault="004258A4" w:rsidP="004258A4">
            <w:pPr>
              <w:pStyle w:val="ListParagraph"/>
              <w:numPr>
                <w:ilvl w:val="0"/>
                <w:numId w:val="1"/>
              </w:numPr>
              <w:spacing w:before="120" w:after="120"/>
              <w:rPr>
                <w:rFonts w:ascii="Arial" w:hAnsi="Arial" w:cs="Arial"/>
                <w:sz w:val="20"/>
                <w:szCs w:val="20"/>
              </w:rPr>
            </w:pPr>
            <w:r w:rsidRPr="00255FFF">
              <w:rPr>
                <w:rFonts w:ascii="Arial" w:hAnsi="Arial" w:cs="Arial"/>
                <w:sz w:val="20"/>
                <w:szCs w:val="20"/>
              </w:rPr>
              <w:t xml:space="preserve">The </w:t>
            </w:r>
            <w:r w:rsidR="00255FFF" w:rsidRPr="00255FFF">
              <w:rPr>
                <w:rFonts w:ascii="Arial" w:hAnsi="Arial" w:cs="Arial"/>
                <w:sz w:val="20"/>
                <w:szCs w:val="20"/>
              </w:rPr>
              <w:t>circumstances in which, and amount of capacity for which, a capacity auction is to be held</w:t>
            </w:r>
          </w:p>
          <w:p w:rsidR="004258A4" w:rsidRPr="00255FFF" w:rsidRDefault="004258A4"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Eligibility to participa</w:t>
            </w:r>
            <w:r w:rsidR="00255FFF" w:rsidRPr="00255FFF">
              <w:rPr>
                <w:rFonts w:ascii="Arial" w:hAnsi="Arial" w:cs="Arial"/>
                <w:sz w:val="20"/>
                <w:szCs w:val="20"/>
              </w:rPr>
              <w:t>t</w:t>
            </w:r>
            <w:r w:rsidRPr="00255FFF">
              <w:rPr>
                <w:rFonts w:ascii="Arial" w:hAnsi="Arial" w:cs="Arial"/>
                <w:sz w:val="20"/>
                <w:szCs w:val="20"/>
              </w:rPr>
              <w:t>e in capacity auctions</w:t>
            </w:r>
          </w:p>
          <w:p w:rsidR="00255FFF" w:rsidRPr="00255FFF"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Establishment of the Settlement Body</w:t>
            </w:r>
          </w:p>
          <w:p w:rsidR="00255FFF"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Payments and settlement</w:t>
            </w:r>
          </w:p>
          <w:p w:rsidR="00255FFF" w:rsidRPr="00255FFF"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Information and advice</w:t>
            </w:r>
          </w:p>
          <w:p w:rsidR="00255FFF" w:rsidRPr="00255FFF"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Enforcement and dispute resolution</w:t>
            </w:r>
          </w:p>
          <w:p w:rsidR="00255FFF" w:rsidRPr="00255FFF"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 xml:space="preserve">Provision for </w:t>
            </w:r>
            <w:r w:rsidR="00E9674C">
              <w:rPr>
                <w:rFonts w:ascii="Arial" w:hAnsi="Arial" w:cs="Arial"/>
                <w:sz w:val="20"/>
                <w:szCs w:val="20"/>
              </w:rPr>
              <w:t xml:space="preserve">the Authority to amend of add to </w:t>
            </w:r>
            <w:r w:rsidRPr="00255FFF">
              <w:rPr>
                <w:rFonts w:ascii="Arial" w:hAnsi="Arial" w:cs="Arial"/>
                <w:sz w:val="20"/>
                <w:szCs w:val="20"/>
              </w:rPr>
              <w:t>Capacity Market rules</w:t>
            </w:r>
          </w:p>
          <w:p w:rsidR="00255FFF" w:rsidRPr="00E9674C" w:rsidRDefault="00255FFF" w:rsidP="00255FFF">
            <w:pPr>
              <w:pStyle w:val="ListParagraph"/>
              <w:numPr>
                <w:ilvl w:val="0"/>
                <w:numId w:val="1"/>
              </w:numPr>
              <w:spacing w:before="120" w:after="120"/>
              <w:rPr>
                <w:rFonts w:ascii="Arial" w:hAnsi="Arial" w:cs="Arial"/>
                <w:sz w:val="20"/>
                <w:szCs w:val="20"/>
              </w:rPr>
            </w:pPr>
            <w:r w:rsidRPr="00255FFF">
              <w:rPr>
                <w:rFonts w:ascii="Arial" w:hAnsi="Arial" w:cs="Arial"/>
                <w:sz w:val="20"/>
                <w:szCs w:val="20"/>
              </w:rPr>
              <w:t>Other requirements (e.g. appeals)</w:t>
            </w:r>
          </w:p>
        </w:tc>
      </w:tr>
    </w:tbl>
    <w:p w:rsidR="00BB3B74" w:rsidRDefault="00255FFF" w:rsidP="00BB3B74">
      <w:pPr>
        <w:spacing w:after="240"/>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14:anchorId="68271482" wp14:editId="3E4AB517">
                <wp:simplePos x="0" y="0"/>
                <wp:positionH relativeFrom="column">
                  <wp:posOffset>2585786</wp:posOffset>
                </wp:positionH>
                <wp:positionV relativeFrom="paragraph">
                  <wp:posOffset>1270</wp:posOffset>
                </wp:positionV>
                <wp:extent cx="248920" cy="332105"/>
                <wp:effectExtent l="19050" t="0" r="17780" b="29845"/>
                <wp:wrapNone/>
                <wp:docPr id="2" name="Down Arrow 2"/>
                <wp:cNvGraphicFramePr/>
                <a:graphic xmlns:a="http://schemas.openxmlformats.org/drawingml/2006/main">
                  <a:graphicData uri="http://schemas.microsoft.com/office/word/2010/wordprocessingShape">
                    <wps:wsp>
                      <wps:cNvSpPr/>
                      <wps:spPr>
                        <a:xfrm>
                          <a:off x="0" y="0"/>
                          <a:ext cx="248920" cy="332105"/>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203.6pt;margin-top:.1pt;width:19.6pt;height:26.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" adj="13505" fillcolor="windowText" strokeweight="2pt"/>
            </w:pict>
          </mc:Fallback>
        </mc:AlternateContent>
      </w:r>
    </w:p>
    <w:tbl>
      <w:tblPr>
        <w:tblStyle w:val="TableGrid"/>
        <w:tblW w:w="10916" w:type="dxa"/>
        <w:tblInd w:w="-743" w:type="dxa"/>
        <w:tblLook w:val="04A0" w:firstRow="1" w:lastRow="0" w:firstColumn="1" w:lastColumn="0" w:noHBand="0" w:noVBand="1"/>
      </w:tblPr>
      <w:tblGrid>
        <w:gridCol w:w="10916"/>
      </w:tblGrid>
      <w:tr w:rsidR="00255FFF" w:rsidTr="008B3AA2">
        <w:tc>
          <w:tcPr>
            <w:tcW w:w="10916" w:type="dxa"/>
          </w:tcPr>
          <w:p w:rsidR="00255FFF" w:rsidRDefault="00255FFF" w:rsidP="00134ACB">
            <w:pPr>
              <w:spacing w:before="120" w:after="120"/>
              <w:jc w:val="center"/>
              <w:rPr>
                <w:rFonts w:ascii="Arial" w:hAnsi="Arial" w:cs="Arial"/>
                <w:sz w:val="20"/>
                <w:szCs w:val="20"/>
              </w:rPr>
            </w:pPr>
            <w:r>
              <w:rPr>
                <w:rFonts w:ascii="Arial" w:hAnsi="Arial" w:cs="Arial"/>
                <w:b/>
                <w:sz w:val="20"/>
                <w:szCs w:val="20"/>
              </w:rPr>
              <w:t>Capacity Market Rules</w:t>
            </w:r>
          </w:p>
          <w:p w:rsidR="00E9674C" w:rsidRDefault="00134ACB" w:rsidP="00E9674C">
            <w:pPr>
              <w:spacing w:before="120" w:after="120"/>
              <w:rPr>
                <w:rFonts w:ascii="Arial" w:hAnsi="Arial" w:cs="Arial"/>
                <w:sz w:val="20"/>
                <w:szCs w:val="20"/>
              </w:rPr>
            </w:pPr>
            <w:r>
              <w:rPr>
                <w:rFonts w:ascii="Arial" w:hAnsi="Arial" w:cs="Arial"/>
                <w:sz w:val="20"/>
                <w:szCs w:val="20"/>
              </w:rPr>
              <w:t>The Capacity Market rules will be technical, covering the processes for how the Capacity Market will operate.</w:t>
            </w:r>
            <w:r w:rsidR="00E9674C">
              <w:rPr>
                <w:rFonts w:ascii="Arial" w:hAnsi="Arial" w:cs="Arial"/>
                <w:sz w:val="20"/>
                <w:szCs w:val="20"/>
              </w:rPr>
              <w:t xml:space="preserve"> The first rules will be made by the Secretary of State. The regulations may confer power on the Authority to make further rules or amend existing rules and may limit the extent of, or impose conditions on, the exercise of such power. The rules are likely to cover:</w:t>
            </w:r>
          </w:p>
          <w:p w:rsidR="00E9674C" w:rsidRDefault="00E9674C" w:rsidP="00A6350C">
            <w:pPr>
              <w:pStyle w:val="ListParagraph"/>
              <w:numPr>
                <w:ilvl w:val="0"/>
                <w:numId w:val="1"/>
              </w:numPr>
              <w:spacing w:before="120" w:after="120"/>
              <w:rPr>
                <w:rFonts w:ascii="Arial" w:hAnsi="Arial" w:cs="Arial"/>
                <w:sz w:val="20"/>
                <w:szCs w:val="20"/>
              </w:rPr>
            </w:pPr>
            <w:r>
              <w:rPr>
                <w:rFonts w:ascii="Arial" w:hAnsi="Arial" w:cs="Arial"/>
                <w:sz w:val="20"/>
                <w:szCs w:val="20"/>
              </w:rPr>
              <w:t>Pre-qualification, eligibility and de-rating</w:t>
            </w:r>
          </w:p>
          <w:p w:rsidR="00EB5EE9" w:rsidRDefault="00EB5EE9" w:rsidP="00A6350C">
            <w:pPr>
              <w:pStyle w:val="ListParagraph"/>
              <w:numPr>
                <w:ilvl w:val="0"/>
                <w:numId w:val="1"/>
              </w:numPr>
              <w:spacing w:before="120" w:after="120"/>
              <w:rPr>
                <w:rFonts w:ascii="Arial" w:hAnsi="Arial" w:cs="Arial"/>
                <w:sz w:val="20"/>
                <w:szCs w:val="20"/>
              </w:rPr>
            </w:pPr>
            <w:r>
              <w:rPr>
                <w:rFonts w:ascii="Arial" w:hAnsi="Arial" w:cs="Arial"/>
                <w:sz w:val="20"/>
                <w:szCs w:val="20"/>
              </w:rPr>
              <w:t xml:space="preserve">Rules and procedures for </w:t>
            </w:r>
            <w:r w:rsidR="00F37311">
              <w:rPr>
                <w:rFonts w:ascii="Arial" w:hAnsi="Arial" w:cs="Arial"/>
                <w:sz w:val="20"/>
                <w:szCs w:val="20"/>
              </w:rPr>
              <w:t xml:space="preserve">a capacity </w:t>
            </w:r>
            <w:r>
              <w:rPr>
                <w:rFonts w:ascii="Arial" w:hAnsi="Arial" w:cs="Arial"/>
                <w:sz w:val="20"/>
                <w:szCs w:val="20"/>
              </w:rPr>
              <w:t>auction</w:t>
            </w:r>
          </w:p>
          <w:p w:rsidR="00F37311" w:rsidRDefault="00E9674C" w:rsidP="00A6350C">
            <w:pPr>
              <w:pStyle w:val="ListParagraph"/>
              <w:numPr>
                <w:ilvl w:val="0"/>
                <w:numId w:val="1"/>
              </w:numPr>
              <w:spacing w:before="120" w:after="120"/>
              <w:rPr>
                <w:rFonts w:ascii="Arial" w:hAnsi="Arial" w:cs="Arial"/>
                <w:sz w:val="20"/>
                <w:szCs w:val="20"/>
              </w:rPr>
            </w:pPr>
            <w:r>
              <w:rPr>
                <w:rFonts w:ascii="Arial" w:hAnsi="Arial" w:cs="Arial"/>
                <w:sz w:val="20"/>
                <w:szCs w:val="20"/>
              </w:rPr>
              <w:t>Contents and effect, issuing, assignment and termination of c</w:t>
            </w:r>
            <w:r w:rsidR="00F37311">
              <w:rPr>
                <w:rFonts w:ascii="Arial" w:hAnsi="Arial" w:cs="Arial"/>
                <w:sz w:val="20"/>
                <w:szCs w:val="20"/>
              </w:rPr>
              <w:t>apacity agreements</w:t>
            </w:r>
          </w:p>
          <w:p w:rsidR="00F37311" w:rsidRDefault="00E9674C" w:rsidP="00A6350C">
            <w:pPr>
              <w:pStyle w:val="ListParagraph"/>
              <w:numPr>
                <w:ilvl w:val="0"/>
                <w:numId w:val="1"/>
              </w:numPr>
              <w:spacing w:before="120" w:after="120"/>
              <w:rPr>
                <w:rFonts w:ascii="Arial" w:hAnsi="Arial" w:cs="Arial"/>
                <w:sz w:val="20"/>
                <w:szCs w:val="20"/>
              </w:rPr>
            </w:pPr>
            <w:r>
              <w:rPr>
                <w:rFonts w:ascii="Arial" w:hAnsi="Arial" w:cs="Arial"/>
                <w:sz w:val="20"/>
                <w:szCs w:val="20"/>
              </w:rPr>
              <w:t>Maintenance of a register of capacity agreements</w:t>
            </w:r>
          </w:p>
          <w:p w:rsidR="00E9674C" w:rsidRDefault="00E9674C" w:rsidP="00A6350C">
            <w:pPr>
              <w:pStyle w:val="ListParagraph"/>
              <w:numPr>
                <w:ilvl w:val="0"/>
                <w:numId w:val="1"/>
              </w:numPr>
              <w:spacing w:before="120" w:after="120"/>
              <w:rPr>
                <w:rFonts w:ascii="Arial" w:hAnsi="Arial" w:cs="Arial"/>
                <w:sz w:val="20"/>
                <w:szCs w:val="20"/>
              </w:rPr>
            </w:pPr>
            <w:r>
              <w:rPr>
                <w:rFonts w:ascii="Arial" w:hAnsi="Arial" w:cs="Arial"/>
                <w:sz w:val="20"/>
                <w:szCs w:val="20"/>
              </w:rPr>
              <w:t>Circumstances in which capacity providers must make capacity available and provision for calculating the amount of capacity which must be made available</w:t>
            </w:r>
          </w:p>
          <w:p w:rsidR="00E9674C" w:rsidRDefault="00E9674C" w:rsidP="00A6350C">
            <w:pPr>
              <w:pStyle w:val="ListParagraph"/>
              <w:numPr>
                <w:ilvl w:val="0"/>
                <w:numId w:val="1"/>
              </w:numPr>
              <w:spacing w:before="120" w:after="120"/>
              <w:rPr>
                <w:rFonts w:ascii="Arial" w:hAnsi="Arial" w:cs="Arial"/>
                <w:sz w:val="20"/>
                <w:szCs w:val="20"/>
              </w:rPr>
            </w:pPr>
            <w:r>
              <w:rPr>
                <w:rFonts w:ascii="Arial" w:hAnsi="Arial" w:cs="Arial"/>
                <w:sz w:val="20"/>
                <w:szCs w:val="20"/>
              </w:rPr>
              <w:t>Calculation of capacity incentives</w:t>
            </w:r>
          </w:p>
          <w:p w:rsidR="008B3AA2" w:rsidRPr="00EE0AA4" w:rsidRDefault="008B3AA2" w:rsidP="00A6350C">
            <w:pPr>
              <w:pStyle w:val="ListParagraph"/>
              <w:numPr>
                <w:ilvl w:val="0"/>
                <w:numId w:val="1"/>
              </w:numPr>
              <w:spacing w:before="120" w:after="120"/>
              <w:rPr>
                <w:rFonts w:ascii="Arial" w:hAnsi="Arial" w:cs="Arial"/>
                <w:sz w:val="20"/>
                <w:szCs w:val="20"/>
              </w:rPr>
            </w:pPr>
            <w:r w:rsidRPr="00EE0AA4">
              <w:rPr>
                <w:rFonts w:ascii="Arial" w:hAnsi="Arial" w:cs="Arial"/>
                <w:sz w:val="20"/>
                <w:szCs w:val="20"/>
              </w:rPr>
              <w:t xml:space="preserve">Testing </w:t>
            </w:r>
            <w:r w:rsidR="00EE0AA4" w:rsidRPr="00EE0AA4">
              <w:rPr>
                <w:rFonts w:ascii="Arial" w:hAnsi="Arial" w:cs="Arial"/>
                <w:sz w:val="20"/>
                <w:szCs w:val="20"/>
              </w:rPr>
              <w:t>of plant</w:t>
            </w:r>
          </w:p>
          <w:p w:rsidR="00134ACB" w:rsidRPr="00255FFF" w:rsidRDefault="009F5AEF" w:rsidP="009F5AEF">
            <w:pPr>
              <w:pStyle w:val="ListParagraph"/>
              <w:numPr>
                <w:ilvl w:val="0"/>
                <w:numId w:val="1"/>
              </w:numPr>
              <w:spacing w:before="120" w:after="120"/>
              <w:rPr>
                <w:rFonts w:ascii="Arial" w:hAnsi="Arial" w:cs="Arial"/>
                <w:sz w:val="20"/>
                <w:szCs w:val="20"/>
              </w:rPr>
            </w:pPr>
            <w:r>
              <w:rPr>
                <w:rFonts w:ascii="Arial" w:hAnsi="Arial" w:cs="Arial"/>
                <w:sz w:val="20"/>
                <w:szCs w:val="20"/>
              </w:rPr>
              <w:t>Enforcement and dispute resolution procedure</w:t>
            </w:r>
          </w:p>
        </w:tc>
      </w:tr>
    </w:tbl>
    <w:p w:rsidR="00BB3B74" w:rsidRPr="00060FBD" w:rsidRDefault="00917AA2">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5408" behindDoc="0" locked="0" layoutInCell="1" allowOverlap="1" wp14:anchorId="5374DBA8" wp14:editId="451BA4B5">
                <wp:simplePos x="0" y="0"/>
                <wp:positionH relativeFrom="column">
                  <wp:posOffset>-249555</wp:posOffset>
                </wp:positionH>
                <wp:positionV relativeFrom="paragraph">
                  <wp:posOffset>-2540</wp:posOffset>
                </wp:positionV>
                <wp:extent cx="248920" cy="640715"/>
                <wp:effectExtent l="19050" t="0" r="17780" b="45085"/>
                <wp:wrapNone/>
                <wp:docPr id="4" name="Down Arrow 4"/>
                <wp:cNvGraphicFramePr/>
                <a:graphic xmlns:a="http://schemas.openxmlformats.org/drawingml/2006/main">
                  <a:graphicData uri="http://schemas.microsoft.com/office/word/2010/wordprocessingShape">
                    <wps:wsp>
                      <wps:cNvSpPr/>
                      <wps:spPr>
                        <a:xfrm>
                          <a:off x="0" y="0"/>
                          <a:ext cx="248920" cy="640715"/>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19.65pt;margin-top:-.2pt;width:19.6pt;height:5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" adj="17404" fillcolor="windowText" strokeweight="2pt"/>
            </w:pict>
          </mc:Fallback>
        </mc:AlternateContent>
      </w:r>
      <w:r>
        <w:rPr>
          <w:rFonts w:ascii="Arial" w:hAnsi="Arial" w:cs="Arial"/>
          <w:noProof/>
          <w:sz w:val="24"/>
          <w:szCs w:val="24"/>
          <w:lang w:eastAsia="en-GB"/>
        </w:rPr>
        <mc:AlternateContent>
          <mc:Choice Requires="wps">
            <w:drawing>
              <wp:anchor distT="0" distB="0" distL="114300" distR="114300" simplePos="0" relativeHeight="251669504" behindDoc="0" locked="0" layoutInCell="1" allowOverlap="1" wp14:anchorId="64699823" wp14:editId="41FE55CD">
                <wp:simplePos x="0" y="0"/>
                <wp:positionH relativeFrom="column">
                  <wp:posOffset>1595433</wp:posOffset>
                </wp:positionH>
                <wp:positionV relativeFrom="paragraph">
                  <wp:posOffset>-4445</wp:posOffset>
                </wp:positionV>
                <wp:extent cx="248920" cy="332105"/>
                <wp:effectExtent l="19050" t="0" r="17780" b="29845"/>
                <wp:wrapNone/>
                <wp:docPr id="7" name="Down Arrow 7"/>
                <wp:cNvGraphicFramePr/>
                <a:graphic xmlns:a="http://schemas.openxmlformats.org/drawingml/2006/main">
                  <a:graphicData uri="http://schemas.microsoft.com/office/word/2010/wordprocessingShape">
                    <wps:wsp>
                      <wps:cNvSpPr/>
                      <wps:spPr>
                        <a:xfrm>
                          <a:off x="0" y="0"/>
                          <a:ext cx="248920" cy="332105"/>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7" o:spid="_x0000_s1026" type="#_x0000_t67" style="position:absolute;margin-left:125.6pt;margin-top:-.35pt;width:19.6pt;height:26.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" adj="13505" fillcolor="windowText" strokeweight="2pt"/>
            </w:pict>
          </mc:Fallback>
        </mc:AlternateContent>
      </w:r>
      <w:r>
        <w:rPr>
          <w:rFonts w:ascii="Arial" w:hAnsi="Arial" w:cs="Arial"/>
          <w:noProof/>
          <w:sz w:val="24"/>
          <w:szCs w:val="24"/>
          <w:lang w:eastAsia="en-GB"/>
        </w:rPr>
        <mc:AlternateContent>
          <mc:Choice Requires="wps">
            <w:drawing>
              <wp:anchor distT="0" distB="0" distL="114300" distR="114300" simplePos="0" relativeHeight="251684864" behindDoc="0" locked="0" layoutInCell="1" allowOverlap="1" wp14:anchorId="42FBAC91" wp14:editId="4C18189B">
                <wp:simplePos x="0" y="0"/>
                <wp:positionH relativeFrom="column">
                  <wp:posOffset>641268</wp:posOffset>
                </wp:positionH>
                <wp:positionV relativeFrom="paragraph">
                  <wp:posOffset>-3398</wp:posOffset>
                </wp:positionV>
                <wp:extent cx="248920" cy="653143"/>
                <wp:effectExtent l="19050" t="0" r="17780" b="33020"/>
                <wp:wrapNone/>
                <wp:docPr id="5" name="Down Arrow 5"/>
                <wp:cNvGraphicFramePr/>
                <a:graphic xmlns:a="http://schemas.openxmlformats.org/drawingml/2006/main">
                  <a:graphicData uri="http://schemas.microsoft.com/office/word/2010/wordprocessingShape">
                    <wps:wsp>
                      <wps:cNvSpPr/>
                      <wps:spPr>
                        <a:xfrm>
                          <a:off x="0" y="0"/>
                          <a:ext cx="248920" cy="653143"/>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style="position:absolute;margin-left:50.5pt;margin-top:-.25pt;width:19.6pt;height:51.4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" adj="17484" fillcolor="windowText" strokeweight="2pt"/>
            </w:pict>
          </mc:Fallback>
        </mc:AlternateContent>
      </w:r>
      <w:r w:rsidR="006D2701" w:rsidRPr="006D2701">
        <w:rPr>
          <w:rFonts w:ascii="Arial" w:hAnsi="Arial" w:cs="Arial"/>
          <w:noProof/>
          <w:sz w:val="18"/>
          <w:szCs w:val="18"/>
          <w:lang w:eastAsia="en-GB"/>
        </w:rPr>
        <mc:AlternateContent>
          <mc:Choice Requires="wps">
            <w:drawing>
              <wp:anchor distT="0" distB="0" distL="114300" distR="114300" simplePos="0" relativeHeight="251680768" behindDoc="0" locked="0" layoutInCell="1" allowOverlap="1" wp14:anchorId="775D057C" wp14:editId="46A85F81">
                <wp:simplePos x="0" y="0"/>
                <wp:positionH relativeFrom="column">
                  <wp:posOffset>3776345</wp:posOffset>
                </wp:positionH>
                <wp:positionV relativeFrom="paragraph">
                  <wp:posOffset>91448</wp:posOffset>
                </wp:positionV>
                <wp:extent cx="2683824" cy="1092530"/>
                <wp:effectExtent l="0" t="0" r="21590" b="12700"/>
                <wp:wrapNone/>
                <wp:docPr id="16" name="Rectangle 16"/>
                <wp:cNvGraphicFramePr/>
                <a:graphic xmlns:a="http://schemas.openxmlformats.org/drawingml/2006/main">
                  <a:graphicData uri="http://schemas.microsoft.com/office/word/2010/wordprocessingShape">
                    <wps:wsp>
                      <wps:cNvSpPr/>
                      <wps:spPr>
                        <a:xfrm>
                          <a:off x="0" y="0"/>
                          <a:ext cx="2683824" cy="109253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94B19" w:rsidRDefault="00694B19" w:rsidP="007B726C">
                            <w:pPr>
                              <w:spacing w:before="120" w:after="120"/>
                              <w:jc w:val="center"/>
                              <w:rPr>
                                <w:rFonts w:ascii="Arial" w:hAnsi="Arial" w:cs="Arial"/>
                                <w:b/>
                                <w:sz w:val="20"/>
                                <w:szCs w:val="20"/>
                              </w:rPr>
                            </w:pPr>
                            <w:r w:rsidRPr="00694B19">
                              <w:rPr>
                                <w:rFonts w:ascii="Arial" w:hAnsi="Arial" w:cs="Arial"/>
                                <w:b/>
                                <w:sz w:val="20"/>
                                <w:szCs w:val="20"/>
                              </w:rPr>
                              <w:t>Licences</w:t>
                            </w:r>
                          </w:p>
                          <w:p w:rsidR="00694B19" w:rsidRPr="00694B19" w:rsidRDefault="00694B19" w:rsidP="007B726C">
                            <w:pPr>
                              <w:spacing w:before="120" w:after="120"/>
                              <w:jc w:val="center"/>
                              <w:rPr>
                                <w:rFonts w:ascii="Arial" w:hAnsi="Arial" w:cs="Arial"/>
                                <w:sz w:val="20"/>
                                <w:szCs w:val="20"/>
                              </w:rPr>
                            </w:pPr>
                            <w:r>
                              <w:rPr>
                                <w:rFonts w:ascii="Arial" w:hAnsi="Arial" w:cs="Arial"/>
                                <w:sz w:val="20"/>
                                <w:szCs w:val="20"/>
                              </w:rPr>
                              <w:t>To consider whether consequential amendments to existing licences are required as a result of the Capacity Market and the regulations and rules.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26" style="position:absolute;margin-left:297.35pt;margin-top:7.2pt;width:211.3pt;height:86.0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" fillcolor="white [3201]" strokecolor="black [3213]" strokeweight="2pt">
                <v:textbox>
                  <w:txbxContent>
                    <w:p w:rsidR="00694B19" w:rsidRDefault="00694B19" w:rsidP="007B726C">
                      <w:pPr>
                        <w:spacing w:before="120" w:after="120"/>
                        <w:jc w:val="center"/>
                        <w:rPr>
                          <w:rFonts w:ascii="Arial" w:hAnsi="Arial" w:cs="Arial"/>
                          <w:b/>
                          <w:sz w:val="20"/>
                          <w:szCs w:val="20"/>
                        </w:rPr>
                      </w:pPr>
                      <w:r w:rsidRPr="00694B19">
                        <w:rPr>
                          <w:rFonts w:ascii="Arial" w:hAnsi="Arial" w:cs="Arial"/>
                          <w:b/>
                          <w:sz w:val="20"/>
                          <w:szCs w:val="20"/>
                        </w:rPr>
                        <w:t>Licences</w:t>
                      </w:r>
                    </w:p>
                    <w:p w:rsidR="00694B19" w:rsidRPr="00694B19" w:rsidRDefault="00694B19" w:rsidP="007B726C">
                      <w:pPr>
                        <w:spacing w:before="120" w:after="120"/>
                        <w:jc w:val="center"/>
                        <w:rPr>
                          <w:rFonts w:ascii="Arial" w:hAnsi="Arial" w:cs="Arial"/>
                          <w:sz w:val="20"/>
                          <w:szCs w:val="20"/>
                        </w:rPr>
                      </w:pPr>
                      <w:r>
                        <w:rPr>
                          <w:rFonts w:ascii="Arial" w:hAnsi="Arial" w:cs="Arial"/>
                          <w:sz w:val="20"/>
                          <w:szCs w:val="20"/>
                        </w:rPr>
                        <w:t>To consider whether consequential amendments to existing licences are required as a result of the Capacity Market and the regulations and rules.</w:t>
                      </w:r>
                    </w:p>
                  </w:txbxContent>
                </v:textbox>
              </v:rect>
            </w:pict>
          </mc:Fallback>
        </mc:AlternateContent>
      </w:r>
    </w:p>
    <w:p w:rsidR="00060FBD" w:rsidRPr="00060FBD" w:rsidRDefault="0000615F">
      <w:pPr>
        <w:rPr>
          <w:rFonts w:ascii="Arial" w:hAnsi="Arial" w:cs="Arial"/>
          <w:sz w:val="24"/>
          <w:szCs w:val="24"/>
        </w:rPr>
      </w:pPr>
      <w:r w:rsidRPr="009F5AEF">
        <w:rPr>
          <w:rFonts w:ascii="Arial" w:hAnsi="Arial" w:cs="Arial"/>
          <w:noProof/>
          <w:sz w:val="20"/>
          <w:szCs w:val="20"/>
          <w:lang w:eastAsia="en-GB"/>
        </w:rPr>
        <mc:AlternateContent>
          <mc:Choice Requires="wps">
            <w:drawing>
              <wp:anchor distT="0" distB="0" distL="114300" distR="114300" simplePos="0" relativeHeight="251674624" behindDoc="0" locked="0" layoutInCell="1" allowOverlap="1" wp14:anchorId="131CE9B0" wp14:editId="573DCD9E">
                <wp:simplePos x="0" y="0"/>
                <wp:positionH relativeFrom="column">
                  <wp:posOffset>1234440</wp:posOffset>
                </wp:positionH>
                <wp:positionV relativeFrom="paragraph">
                  <wp:posOffset>635</wp:posOffset>
                </wp:positionV>
                <wp:extent cx="985520" cy="1294130"/>
                <wp:effectExtent l="0" t="0" r="24130" b="20320"/>
                <wp:wrapNone/>
                <wp:docPr id="10" name="Rectangle 10"/>
                <wp:cNvGraphicFramePr/>
                <a:graphic xmlns:a="http://schemas.openxmlformats.org/drawingml/2006/main">
                  <a:graphicData uri="http://schemas.microsoft.com/office/word/2010/wordprocessingShape">
                    <wps:wsp>
                      <wps:cNvSpPr/>
                      <wps:spPr>
                        <a:xfrm>
                          <a:off x="0" y="0"/>
                          <a:ext cx="985520" cy="1294130"/>
                        </a:xfrm>
                        <a:prstGeom prst="rect">
                          <a:avLst/>
                        </a:prstGeom>
                        <a:solidFill>
                          <a:sysClr val="window" lastClr="FFFFFF"/>
                        </a:solidFill>
                        <a:ln w="12700" cap="flat" cmpd="sng" algn="ctr">
                          <a:solidFill>
                            <a:sysClr val="windowText" lastClr="000000"/>
                          </a:solidFill>
                          <a:prstDash val="solid"/>
                        </a:ln>
                        <a:effectLst/>
                      </wps:spPr>
                      <wps:txbx>
                        <w:txbxContent>
                          <w:p w:rsidR="009F5AEF" w:rsidRPr="00694B19" w:rsidRDefault="0000615F" w:rsidP="007B726C">
                            <w:pPr>
                              <w:spacing w:before="120" w:after="120"/>
                              <w:jc w:val="center"/>
                              <w:rPr>
                                <w:rFonts w:ascii="Arial" w:hAnsi="Arial" w:cs="Arial"/>
                                <w:b/>
                                <w:sz w:val="20"/>
                                <w:szCs w:val="20"/>
                              </w:rPr>
                            </w:pPr>
                            <w:r>
                              <w:rPr>
                                <w:rFonts w:ascii="Arial" w:hAnsi="Arial" w:cs="Arial"/>
                                <w:b/>
                                <w:sz w:val="20"/>
                                <w:szCs w:val="20"/>
                              </w:rPr>
                              <w:t>Governance framework for Settlement Body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7" style="position:absolute;margin-left:97.2pt;margin-top:.05pt;width:77.6pt;height:10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" fillcolor="window" strokecolor="windowText" strokeweight="1pt">
                <v:textbox>
                  <w:txbxContent>
                    <w:p w:rsidR="009F5AEF" w:rsidRPr="00694B19" w:rsidRDefault="0000615F" w:rsidP="007B726C">
                      <w:pPr>
                        <w:spacing w:before="120" w:after="120"/>
                        <w:jc w:val="center"/>
                        <w:rPr>
                          <w:rFonts w:ascii="Arial" w:hAnsi="Arial" w:cs="Arial"/>
                          <w:b/>
                          <w:sz w:val="20"/>
                          <w:szCs w:val="20"/>
                        </w:rPr>
                      </w:pPr>
                      <w:r>
                        <w:rPr>
                          <w:rFonts w:ascii="Arial" w:hAnsi="Arial" w:cs="Arial"/>
                          <w:b/>
                          <w:sz w:val="20"/>
                          <w:szCs w:val="20"/>
                        </w:rPr>
                        <w:t>Governance framework for Settlement Body</w:t>
                      </w:r>
                    </w:p>
                  </w:txbxContent>
                </v:textbox>
              </v:rect>
            </w:pict>
          </mc:Fallback>
        </mc:AlternateContent>
      </w:r>
      <w:r w:rsidRPr="009F5AEF">
        <w:rPr>
          <w:rFonts w:ascii="Arial" w:hAnsi="Arial" w:cs="Arial"/>
          <w:noProof/>
          <w:sz w:val="20"/>
          <w:szCs w:val="20"/>
          <w:lang w:eastAsia="en-GB"/>
        </w:rPr>
        <mc:AlternateContent>
          <mc:Choice Requires="wps">
            <w:drawing>
              <wp:anchor distT="0" distB="0" distL="114300" distR="114300" simplePos="0" relativeHeight="251672576" behindDoc="0" locked="0" layoutInCell="1" allowOverlap="1" wp14:anchorId="76C8D844" wp14:editId="121D8FA8">
                <wp:simplePos x="0" y="0"/>
                <wp:positionH relativeFrom="column">
                  <wp:posOffset>-654685</wp:posOffset>
                </wp:positionH>
                <wp:positionV relativeFrom="paragraph">
                  <wp:posOffset>307340</wp:posOffset>
                </wp:positionV>
                <wp:extent cx="902335" cy="664845"/>
                <wp:effectExtent l="0" t="0" r="12065" b="20955"/>
                <wp:wrapNone/>
                <wp:docPr id="9" name="Rectangle 9"/>
                <wp:cNvGraphicFramePr/>
                <a:graphic xmlns:a="http://schemas.openxmlformats.org/drawingml/2006/main">
                  <a:graphicData uri="http://schemas.microsoft.com/office/word/2010/wordprocessingShape">
                    <wps:wsp>
                      <wps:cNvSpPr/>
                      <wps:spPr>
                        <a:xfrm>
                          <a:off x="0" y="0"/>
                          <a:ext cx="902335" cy="664845"/>
                        </a:xfrm>
                        <a:prstGeom prst="rect">
                          <a:avLst/>
                        </a:prstGeom>
                        <a:solidFill>
                          <a:sysClr val="window" lastClr="FFFFFF"/>
                        </a:solidFill>
                        <a:ln w="12700" cap="flat" cmpd="sng" algn="ctr">
                          <a:solidFill>
                            <a:sysClr val="windowText" lastClr="000000"/>
                          </a:solidFill>
                          <a:prstDash val="solid"/>
                        </a:ln>
                        <a:effectLst/>
                      </wps:spPr>
                      <wps:txbx>
                        <w:txbxContent>
                          <w:p w:rsidR="009F5AEF" w:rsidRPr="00523380" w:rsidRDefault="009F5AEF" w:rsidP="007B726C">
                            <w:pPr>
                              <w:spacing w:before="120" w:after="120"/>
                              <w:jc w:val="center"/>
                              <w:rPr>
                                <w:rFonts w:ascii="Arial" w:hAnsi="Arial" w:cs="Arial"/>
                                <w:b/>
                                <w:sz w:val="20"/>
                                <w:szCs w:val="20"/>
                              </w:rPr>
                            </w:pPr>
                            <w:r w:rsidRPr="00523380">
                              <w:rPr>
                                <w:rFonts w:ascii="Arial" w:hAnsi="Arial" w:cs="Arial"/>
                                <w:b/>
                                <w:sz w:val="20"/>
                                <w:szCs w:val="20"/>
                              </w:rPr>
                              <w:t xml:space="preserve">Capacity </w:t>
                            </w:r>
                            <w:r w:rsidR="00523380" w:rsidRPr="00523380">
                              <w:rPr>
                                <w:rFonts w:ascii="Arial" w:hAnsi="Arial" w:cs="Arial"/>
                                <w:b/>
                                <w:sz w:val="20"/>
                                <w:szCs w:val="20"/>
                              </w:rPr>
                              <w:t>a</w:t>
                            </w:r>
                            <w:r w:rsidRPr="00523380">
                              <w:rPr>
                                <w:rFonts w:ascii="Arial" w:hAnsi="Arial" w:cs="Arial"/>
                                <w:b/>
                                <w:sz w:val="20"/>
                                <w:szCs w:val="20"/>
                              </w:rPr>
                              <w:t>greement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margin-left:-51.55pt;margin-top:24.2pt;width:71.05pt;height:5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" fillcolor="window" strokecolor="windowText" strokeweight="1pt">
                <v:textbox>
                  <w:txbxContent>
                    <w:p w:rsidR="009F5AEF" w:rsidRPr="00523380" w:rsidRDefault="009F5AEF" w:rsidP="007B726C">
                      <w:pPr>
                        <w:spacing w:before="120" w:after="120"/>
                        <w:jc w:val="center"/>
                        <w:rPr>
                          <w:rFonts w:ascii="Arial" w:hAnsi="Arial" w:cs="Arial"/>
                          <w:b/>
                          <w:sz w:val="20"/>
                          <w:szCs w:val="20"/>
                        </w:rPr>
                      </w:pPr>
                      <w:r w:rsidRPr="00523380">
                        <w:rPr>
                          <w:rFonts w:ascii="Arial" w:hAnsi="Arial" w:cs="Arial"/>
                          <w:b/>
                          <w:sz w:val="20"/>
                          <w:szCs w:val="20"/>
                        </w:rPr>
                        <w:t xml:space="preserve">Capacity </w:t>
                      </w:r>
                      <w:r w:rsidR="00523380" w:rsidRPr="00523380">
                        <w:rPr>
                          <w:rFonts w:ascii="Arial" w:hAnsi="Arial" w:cs="Arial"/>
                          <w:b/>
                          <w:sz w:val="20"/>
                          <w:szCs w:val="20"/>
                        </w:rPr>
                        <w:t>a</w:t>
                      </w:r>
                      <w:r w:rsidRPr="00523380">
                        <w:rPr>
                          <w:rFonts w:ascii="Arial" w:hAnsi="Arial" w:cs="Arial"/>
                          <w:b/>
                          <w:sz w:val="20"/>
                          <w:szCs w:val="20"/>
                        </w:rPr>
                        <w:t>greement</w:t>
                      </w:r>
                    </w:p>
                  </w:txbxContent>
                </v:textbox>
              </v:rect>
            </w:pict>
          </mc:Fallback>
        </mc:AlternateContent>
      </w:r>
      <w:r w:rsidR="00917AA2">
        <w:rPr>
          <w:rFonts w:ascii="Arial" w:hAnsi="Arial" w:cs="Arial"/>
          <w:noProof/>
          <w:sz w:val="20"/>
          <w:szCs w:val="20"/>
          <w:lang w:eastAsia="en-GB"/>
        </w:rPr>
        <mc:AlternateContent>
          <mc:Choice Requires="wps">
            <w:drawing>
              <wp:anchor distT="0" distB="0" distL="114300" distR="114300" simplePos="0" relativeHeight="251679744" behindDoc="0" locked="0" layoutInCell="1" allowOverlap="1" wp14:anchorId="29AF03CC" wp14:editId="3A317251">
                <wp:simplePos x="0" y="0"/>
                <wp:positionH relativeFrom="column">
                  <wp:posOffset>2220595</wp:posOffset>
                </wp:positionH>
                <wp:positionV relativeFrom="paragraph">
                  <wp:posOffset>320040</wp:posOffset>
                </wp:positionV>
                <wp:extent cx="213360" cy="0"/>
                <wp:effectExtent l="38100" t="76200" r="0" b="114300"/>
                <wp:wrapNone/>
                <wp:docPr id="15" name="Straight Arrow Connector 15"/>
                <wp:cNvGraphicFramePr/>
                <a:graphic xmlns:a="http://schemas.openxmlformats.org/drawingml/2006/main">
                  <a:graphicData uri="http://schemas.microsoft.com/office/word/2010/wordprocessingShape">
                    <wps:wsp>
                      <wps:cNvCnPr/>
                      <wps:spPr>
                        <a:xfrm flipH="1">
                          <a:off x="0" y="0"/>
                          <a:ext cx="21336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174.85pt;margin-top:25.2pt;width:16.8pt;height:0;flip:x;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" strokecolor="windowText">
                <v:stroke endarrow="open"/>
              </v:shape>
            </w:pict>
          </mc:Fallback>
        </mc:AlternateContent>
      </w:r>
      <w:r w:rsidR="00917AA2">
        <w:rPr>
          <w:rFonts w:ascii="Arial" w:hAnsi="Arial" w:cs="Arial"/>
          <w:noProof/>
          <w:sz w:val="20"/>
          <w:szCs w:val="20"/>
          <w:lang w:eastAsia="en-GB"/>
        </w:rPr>
        <mc:AlternateContent>
          <mc:Choice Requires="wps">
            <w:drawing>
              <wp:anchor distT="0" distB="0" distL="114300" distR="114300" simplePos="0" relativeHeight="251677696" behindDoc="0" locked="0" layoutInCell="1" allowOverlap="1" wp14:anchorId="15FB52AA" wp14:editId="659EF0F0">
                <wp:simplePos x="0" y="0"/>
                <wp:positionH relativeFrom="column">
                  <wp:posOffset>2266315</wp:posOffset>
                </wp:positionH>
                <wp:positionV relativeFrom="paragraph">
                  <wp:posOffset>118745</wp:posOffset>
                </wp:positionV>
                <wp:extent cx="166370" cy="0"/>
                <wp:effectExtent l="0" t="76200" r="24130" b="114300"/>
                <wp:wrapNone/>
                <wp:docPr id="12" name="Straight Arrow Connector 12"/>
                <wp:cNvGraphicFramePr/>
                <a:graphic xmlns:a="http://schemas.openxmlformats.org/drawingml/2006/main">
                  <a:graphicData uri="http://schemas.microsoft.com/office/word/2010/wordprocessingShape">
                    <wps:wsp>
                      <wps:cNvCnPr/>
                      <wps:spPr>
                        <a:xfrm>
                          <a:off x="0" y="0"/>
                          <a:ext cx="16637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 o:spid="_x0000_s1026" type="#_x0000_t32" style="position:absolute;margin-left:178.45pt;margin-top:9.35pt;width:13.1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" strokecolor="black [3213]">
                <v:stroke endarrow="open"/>
              </v:shape>
            </w:pict>
          </mc:Fallback>
        </mc:AlternateContent>
      </w:r>
      <w:r w:rsidR="00917AA2" w:rsidRPr="009F5AEF">
        <w:rPr>
          <w:rFonts w:ascii="Arial" w:hAnsi="Arial" w:cs="Arial"/>
          <w:noProof/>
          <w:sz w:val="20"/>
          <w:szCs w:val="20"/>
          <w:lang w:eastAsia="en-GB"/>
        </w:rPr>
        <mc:AlternateContent>
          <mc:Choice Requires="wps">
            <w:drawing>
              <wp:anchor distT="0" distB="0" distL="114300" distR="114300" simplePos="0" relativeHeight="251676672" behindDoc="0" locked="0" layoutInCell="1" allowOverlap="1" wp14:anchorId="1D8E1556" wp14:editId="6ED5382A">
                <wp:simplePos x="0" y="0"/>
                <wp:positionH relativeFrom="column">
                  <wp:posOffset>2439035</wp:posOffset>
                </wp:positionH>
                <wp:positionV relativeFrom="paragraph">
                  <wp:posOffset>5080</wp:posOffset>
                </wp:positionV>
                <wp:extent cx="1223010" cy="1626870"/>
                <wp:effectExtent l="0" t="0" r="15240" b="11430"/>
                <wp:wrapNone/>
                <wp:docPr id="11" name="Rectangle 11"/>
                <wp:cNvGraphicFramePr/>
                <a:graphic xmlns:a="http://schemas.openxmlformats.org/drawingml/2006/main">
                  <a:graphicData uri="http://schemas.microsoft.com/office/word/2010/wordprocessingShape">
                    <wps:wsp>
                      <wps:cNvSpPr/>
                      <wps:spPr>
                        <a:xfrm>
                          <a:off x="0" y="0"/>
                          <a:ext cx="1223010" cy="1626870"/>
                        </a:xfrm>
                        <a:prstGeom prst="rect">
                          <a:avLst/>
                        </a:prstGeom>
                        <a:solidFill>
                          <a:sysClr val="window" lastClr="FFFFFF"/>
                        </a:solidFill>
                        <a:ln w="12700" cap="flat" cmpd="sng" algn="ctr">
                          <a:solidFill>
                            <a:sysClr val="windowText" lastClr="000000"/>
                          </a:solidFill>
                          <a:prstDash val="sysDash"/>
                        </a:ln>
                        <a:effectLst/>
                      </wps:spPr>
                      <wps:txbx>
                        <w:txbxContent>
                          <w:p w:rsidR="009F5AEF" w:rsidRPr="00694B19" w:rsidRDefault="009F5AEF" w:rsidP="007B726C">
                            <w:pPr>
                              <w:spacing w:before="120" w:after="120"/>
                              <w:jc w:val="center"/>
                              <w:rPr>
                                <w:rFonts w:ascii="Arial" w:hAnsi="Arial" w:cs="Arial"/>
                                <w:sz w:val="20"/>
                                <w:szCs w:val="20"/>
                              </w:rPr>
                            </w:pPr>
                            <w:r w:rsidRPr="00694B19">
                              <w:rPr>
                                <w:rFonts w:ascii="Arial" w:hAnsi="Arial" w:cs="Arial"/>
                                <w:b/>
                                <w:sz w:val="20"/>
                                <w:szCs w:val="20"/>
                              </w:rPr>
                              <w:t>Operating agreement</w:t>
                            </w:r>
                          </w:p>
                          <w:p w:rsidR="009F5AEF" w:rsidRPr="00694B19" w:rsidRDefault="009F5AEF" w:rsidP="007B726C">
                            <w:pPr>
                              <w:spacing w:before="120" w:after="120"/>
                              <w:jc w:val="center"/>
                              <w:rPr>
                                <w:rFonts w:ascii="Arial" w:hAnsi="Arial" w:cs="Arial"/>
                                <w:i/>
                                <w:sz w:val="20"/>
                                <w:szCs w:val="20"/>
                              </w:rPr>
                            </w:pPr>
                            <w:r w:rsidRPr="00694B19">
                              <w:rPr>
                                <w:rFonts w:ascii="Arial" w:hAnsi="Arial" w:cs="Arial"/>
                                <w:sz w:val="20"/>
                                <w:szCs w:val="20"/>
                              </w:rPr>
                              <w:t>(</w:t>
                            </w:r>
                            <w:proofErr w:type="gramStart"/>
                            <w:r w:rsidRPr="00694B19">
                              <w:rPr>
                                <w:rFonts w:ascii="Arial" w:hAnsi="Arial" w:cs="Arial"/>
                                <w:sz w:val="20"/>
                                <w:szCs w:val="20"/>
                              </w:rPr>
                              <w:t>between</w:t>
                            </w:r>
                            <w:proofErr w:type="gramEnd"/>
                            <w:r w:rsidRPr="00694B19">
                              <w:rPr>
                                <w:rFonts w:ascii="Arial" w:hAnsi="Arial" w:cs="Arial"/>
                                <w:sz w:val="20"/>
                                <w:szCs w:val="20"/>
                              </w:rPr>
                              <w:t xml:space="preserve"> Settlement Body and Settlement Agent) </w:t>
                            </w:r>
                            <w:r w:rsidRPr="00694B19">
                              <w:rPr>
                                <w:rFonts w:ascii="Arial" w:hAnsi="Arial" w:cs="Arial"/>
                                <w:i/>
                                <w:sz w:val="20"/>
                                <w:szCs w:val="20"/>
                              </w:rPr>
                              <w:t>[</w:t>
                            </w:r>
                            <w:proofErr w:type="gramStart"/>
                            <w:r w:rsidRPr="00694B19">
                              <w:rPr>
                                <w:rFonts w:ascii="Arial" w:hAnsi="Arial" w:cs="Arial"/>
                                <w:i/>
                                <w:sz w:val="20"/>
                                <w:szCs w:val="20"/>
                              </w:rPr>
                              <w:t>to</w:t>
                            </w:r>
                            <w:proofErr w:type="gramEnd"/>
                            <w:r w:rsidRPr="00694B19">
                              <w:rPr>
                                <w:rFonts w:ascii="Arial" w:hAnsi="Arial" w:cs="Arial"/>
                                <w:i/>
                                <w:sz w:val="20"/>
                                <w:szCs w:val="20"/>
                              </w:rPr>
                              <w:t xml:space="preserve"> follow at a later stage]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9" style="position:absolute;margin-left:192.05pt;margin-top:.4pt;width:96.3pt;height:128.1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" fillcolor="window" strokecolor="windowText" strokeweight="1pt">
                <v:stroke dashstyle="3 1"/>
                <v:textbox>
                  <w:txbxContent>
                    <w:p w:rsidR="009F5AEF" w:rsidRPr="00694B19" w:rsidRDefault="009F5AEF" w:rsidP="007B726C">
                      <w:pPr>
                        <w:spacing w:before="120" w:after="120"/>
                        <w:jc w:val="center"/>
                        <w:rPr>
                          <w:rFonts w:ascii="Arial" w:hAnsi="Arial" w:cs="Arial"/>
                          <w:sz w:val="20"/>
                          <w:szCs w:val="20"/>
                        </w:rPr>
                      </w:pPr>
                      <w:r w:rsidRPr="00694B19">
                        <w:rPr>
                          <w:rFonts w:ascii="Arial" w:hAnsi="Arial" w:cs="Arial"/>
                          <w:b/>
                          <w:sz w:val="20"/>
                          <w:szCs w:val="20"/>
                        </w:rPr>
                        <w:t>Operating agreement</w:t>
                      </w:r>
                    </w:p>
                    <w:p w:rsidR="009F5AEF" w:rsidRPr="00694B19" w:rsidRDefault="009F5AEF" w:rsidP="007B726C">
                      <w:pPr>
                        <w:spacing w:before="120" w:after="120"/>
                        <w:jc w:val="center"/>
                        <w:rPr>
                          <w:rFonts w:ascii="Arial" w:hAnsi="Arial" w:cs="Arial"/>
                          <w:i/>
                          <w:sz w:val="20"/>
                          <w:szCs w:val="20"/>
                        </w:rPr>
                      </w:pPr>
                      <w:r w:rsidRPr="00694B19">
                        <w:rPr>
                          <w:rFonts w:ascii="Arial" w:hAnsi="Arial" w:cs="Arial"/>
                          <w:sz w:val="20"/>
                          <w:szCs w:val="20"/>
                        </w:rPr>
                        <w:t>(</w:t>
                      </w:r>
                      <w:proofErr w:type="gramStart"/>
                      <w:r w:rsidRPr="00694B19">
                        <w:rPr>
                          <w:rFonts w:ascii="Arial" w:hAnsi="Arial" w:cs="Arial"/>
                          <w:sz w:val="20"/>
                          <w:szCs w:val="20"/>
                        </w:rPr>
                        <w:t>between</w:t>
                      </w:r>
                      <w:proofErr w:type="gramEnd"/>
                      <w:r w:rsidRPr="00694B19">
                        <w:rPr>
                          <w:rFonts w:ascii="Arial" w:hAnsi="Arial" w:cs="Arial"/>
                          <w:sz w:val="20"/>
                          <w:szCs w:val="20"/>
                        </w:rPr>
                        <w:t xml:space="preserve"> Settlement Body and Settlement Agent) </w:t>
                      </w:r>
                      <w:r w:rsidRPr="00694B19">
                        <w:rPr>
                          <w:rFonts w:ascii="Arial" w:hAnsi="Arial" w:cs="Arial"/>
                          <w:i/>
                          <w:sz w:val="20"/>
                          <w:szCs w:val="20"/>
                        </w:rPr>
                        <w:t>[</w:t>
                      </w:r>
                      <w:proofErr w:type="gramStart"/>
                      <w:r w:rsidRPr="00694B19">
                        <w:rPr>
                          <w:rFonts w:ascii="Arial" w:hAnsi="Arial" w:cs="Arial"/>
                          <w:i/>
                          <w:sz w:val="20"/>
                          <w:szCs w:val="20"/>
                        </w:rPr>
                        <w:t>to</w:t>
                      </w:r>
                      <w:proofErr w:type="gramEnd"/>
                      <w:r w:rsidRPr="00694B19">
                        <w:rPr>
                          <w:rFonts w:ascii="Arial" w:hAnsi="Arial" w:cs="Arial"/>
                          <w:i/>
                          <w:sz w:val="20"/>
                          <w:szCs w:val="20"/>
                        </w:rPr>
                        <w:t xml:space="preserve"> follow at a later stage]</w:t>
                      </w:r>
                    </w:p>
                  </w:txbxContent>
                </v:textbox>
              </v:rect>
            </w:pict>
          </mc:Fallback>
        </mc:AlternateContent>
      </w:r>
    </w:p>
    <w:p w:rsidR="00060FBD" w:rsidRPr="00060FBD" w:rsidRDefault="00917AA2">
      <w:pPr>
        <w:rPr>
          <w:rFonts w:ascii="Arial" w:hAnsi="Arial" w:cs="Arial"/>
          <w:sz w:val="24"/>
          <w:szCs w:val="24"/>
        </w:rPr>
      </w:pPr>
      <w:r w:rsidRPr="009F5AEF">
        <w:rPr>
          <w:rFonts w:ascii="Arial" w:hAnsi="Arial" w:cs="Arial"/>
          <w:noProof/>
          <w:sz w:val="20"/>
          <w:szCs w:val="20"/>
          <w:lang w:eastAsia="en-GB"/>
        </w:rPr>
        <mc:AlternateContent>
          <mc:Choice Requires="wps">
            <w:drawing>
              <wp:anchor distT="0" distB="0" distL="114300" distR="114300" simplePos="0" relativeHeight="251686912" behindDoc="0" locked="0" layoutInCell="1" allowOverlap="1" wp14:anchorId="1F85ADE5" wp14:editId="666CE0BD">
                <wp:simplePos x="0" y="0"/>
                <wp:positionH relativeFrom="column">
                  <wp:posOffset>332162</wp:posOffset>
                </wp:positionH>
                <wp:positionV relativeFrom="paragraph">
                  <wp:posOffset>4486</wp:posOffset>
                </wp:positionV>
                <wp:extent cx="831273" cy="593090"/>
                <wp:effectExtent l="0" t="0" r="26035" b="16510"/>
                <wp:wrapNone/>
                <wp:docPr id="13" name="Rectangle 13"/>
                <wp:cNvGraphicFramePr/>
                <a:graphic xmlns:a="http://schemas.openxmlformats.org/drawingml/2006/main">
                  <a:graphicData uri="http://schemas.microsoft.com/office/word/2010/wordprocessingShape">
                    <wps:wsp>
                      <wps:cNvSpPr/>
                      <wps:spPr>
                        <a:xfrm>
                          <a:off x="0" y="0"/>
                          <a:ext cx="831273" cy="593090"/>
                        </a:xfrm>
                        <a:prstGeom prst="rect">
                          <a:avLst/>
                        </a:prstGeom>
                        <a:solidFill>
                          <a:sysClr val="window" lastClr="FFFFFF"/>
                        </a:solidFill>
                        <a:ln w="12700" cap="flat" cmpd="sng" algn="ctr">
                          <a:solidFill>
                            <a:sysClr val="windowText" lastClr="000000"/>
                          </a:solidFill>
                          <a:prstDash val="solid"/>
                        </a:ln>
                        <a:effectLst/>
                      </wps:spPr>
                      <wps:txbx>
                        <w:txbxContent>
                          <w:p w:rsidR="00523380" w:rsidRPr="00523380" w:rsidRDefault="00523380" w:rsidP="00523380">
                            <w:pPr>
                              <w:spacing w:before="120" w:after="120"/>
                              <w:jc w:val="center"/>
                              <w:rPr>
                                <w:rFonts w:ascii="Arial" w:hAnsi="Arial" w:cs="Arial"/>
                                <w:b/>
                                <w:sz w:val="20"/>
                                <w:szCs w:val="20"/>
                              </w:rPr>
                            </w:pPr>
                            <w:r w:rsidRPr="00523380">
                              <w:rPr>
                                <w:rFonts w:ascii="Arial" w:hAnsi="Arial" w:cs="Arial"/>
                                <w:b/>
                                <w:sz w:val="20"/>
                                <w:szCs w:val="20"/>
                              </w:rPr>
                              <w:t>Auction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0" style="position:absolute;margin-left:26.15pt;margin-top:.35pt;width:65.45pt;height:46.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" fillcolor="window" strokecolor="windowText" strokeweight="1pt">
                <v:textbox>
                  <w:txbxContent>
                    <w:p w:rsidR="00523380" w:rsidRPr="00523380" w:rsidRDefault="00523380" w:rsidP="00523380">
                      <w:pPr>
                        <w:spacing w:before="120" w:after="120"/>
                        <w:jc w:val="center"/>
                        <w:rPr>
                          <w:rFonts w:ascii="Arial" w:hAnsi="Arial" w:cs="Arial"/>
                          <w:b/>
                          <w:sz w:val="20"/>
                          <w:szCs w:val="20"/>
                        </w:rPr>
                      </w:pPr>
                      <w:r w:rsidRPr="00523380">
                        <w:rPr>
                          <w:rFonts w:ascii="Arial" w:hAnsi="Arial" w:cs="Arial"/>
                          <w:b/>
                          <w:sz w:val="20"/>
                          <w:szCs w:val="20"/>
                        </w:rPr>
                        <w:t>Auction guidelines</w:t>
                      </w:r>
                    </w:p>
                  </w:txbxContent>
                </v:textbox>
              </v:rect>
            </w:pict>
          </mc:Fallback>
        </mc:AlternateContent>
      </w:r>
    </w:p>
    <w:p w:rsidR="006D2701" w:rsidRDefault="00694B19">
      <w:pPr>
        <w:rPr>
          <w:rFonts w:ascii="Arial" w:hAnsi="Arial" w:cs="Arial"/>
          <w:sz w:val="24"/>
          <w:szCs w:val="24"/>
        </w:rPr>
      </w:pPr>
      <w:r w:rsidRPr="00694B19">
        <w:rPr>
          <w:rFonts w:ascii="Arial" w:hAnsi="Arial" w:cs="Arial"/>
          <w:noProof/>
          <w:sz w:val="20"/>
          <w:szCs w:val="20"/>
          <w:lang w:eastAsia="en-GB"/>
        </w:rPr>
        <mc:AlternateContent>
          <mc:Choice Requires="wps">
            <w:drawing>
              <wp:anchor distT="0" distB="0" distL="114300" distR="114300" simplePos="0" relativeHeight="251682816" behindDoc="0" locked="0" layoutInCell="1" allowOverlap="1" wp14:anchorId="10FC127B" wp14:editId="315DA14C">
                <wp:simplePos x="0" y="0"/>
                <wp:positionH relativeFrom="column">
                  <wp:posOffset>3776345</wp:posOffset>
                </wp:positionH>
                <wp:positionV relativeFrom="paragraph">
                  <wp:posOffset>268605</wp:posOffset>
                </wp:positionV>
                <wp:extent cx="2683510" cy="1258570"/>
                <wp:effectExtent l="0" t="0" r="21590" b="17780"/>
                <wp:wrapNone/>
                <wp:docPr id="17" name="Rectangle 17"/>
                <wp:cNvGraphicFramePr/>
                <a:graphic xmlns:a="http://schemas.openxmlformats.org/drawingml/2006/main">
                  <a:graphicData uri="http://schemas.microsoft.com/office/word/2010/wordprocessingShape">
                    <wps:wsp>
                      <wps:cNvSpPr/>
                      <wps:spPr>
                        <a:xfrm>
                          <a:off x="0" y="0"/>
                          <a:ext cx="2683510" cy="125857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94B19" w:rsidRDefault="00694B19" w:rsidP="007B726C">
                            <w:pPr>
                              <w:spacing w:before="120" w:after="120"/>
                              <w:jc w:val="center"/>
                            </w:pPr>
                            <w:r>
                              <w:rPr>
                                <w:b/>
                              </w:rPr>
                              <w:t>Industry Codes</w:t>
                            </w:r>
                          </w:p>
                          <w:p w:rsidR="00694B19" w:rsidRPr="00694B19" w:rsidRDefault="00694B19" w:rsidP="007B726C">
                            <w:pPr>
                              <w:spacing w:before="120" w:after="120"/>
                              <w:jc w:val="center"/>
                              <w:rPr>
                                <w:rFonts w:ascii="Arial" w:hAnsi="Arial" w:cs="Arial"/>
                                <w:sz w:val="20"/>
                                <w:szCs w:val="20"/>
                              </w:rPr>
                            </w:pPr>
                            <w:r>
                              <w:rPr>
                                <w:rFonts w:ascii="Arial" w:hAnsi="Arial" w:cs="Arial"/>
                                <w:sz w:val="20"/>
                                <w:szCs w:val="20"/>
                              </w:rPr>
                              <w:t>To consider whether consequential amendments to existing codes (e.g. Grid Code / BSC) are required as a result of the Capacity Market and the regulations and rules.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7" o:spid="_x0000_s1032" style="position:absolute;margin-left:297.35pt;margin-top:21.15pt;width:211.3pt;height:99.1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" fillcolor="white [3201]" strokecolor="black [3213]" strokeweight="2pt">
                <v:textbox>
                  <w:txbxContent>
                    <w:p w:rsidR="00694B19" w:rsidRDefault="00694B19" w:rsidP="007B726C">
                      <w:pPr>
                        <w:spacing w:before="120" w:after="120"/>
                        <w:jc w:val="center"/>
                      </w:pPr>
                      <w:r>
                        <w:rPr>
                          <w:b/>
                        </w:rPr>
                        <w:t>Industry Codes</w:t>
                      </w:r>
                    </w:p>
                    <w:p w:rsidR="00694B19" w:rsidRPr="00694B19" w:rsidRDefault="00694B19" w:rsidP="007B726C">
                      <w:pPr>
                        <w:spacing w:before="120" w:after="120"/>
                        <w:jc w:val="center"/>
                        <w:rPr>
                          <w:rFonts w:ascii="Arial" w:hAnsi="Arial" w:cs="Arial"/>
                          <w:sz w:val="20"/>
                          <w:szCs w:val="20"/>
                        </w:rPr>
                      </w:pPr>
                      <w:r>
                        <w:rPr>
                          <w:rFonts w:ascii="Arial" w:hAnsi="Arial" w:cs="Arial"/>
                          <w:sz w:val="20"/>
                          <w:szCs w:val="20"/>
                        </w:rPr>
                        <w:t>To consider whether consequential amendments to existing codes (e.g. Grid Code / BSC) are required as a result of the Capacity Market and the regulations and rules.</w:t>
                      </w:r>
                    </w:p>
                  </w:txbxContent>
                </v:textbox>
              </v:rect>
            </w:pict>
          </mc:Fallback>
        </mc:AlternateContent>
      </w:r>
    </w:p>
    <w:p w:rsidR="006D2701" w:rsidRDefault="006D2701">
      <w:pPr>
        <w:rPr>
          <w:rFonts w:ascii="Arial" w:hAnsi="Arial" w:cs="Arial"/>
          <w:sz w:val="24"/>
          <w:szCs w:val="24"/>
        </w:rPr>
      </w:pPr>
    </w:p>
    <w:p w:rsidR="003875A9" w:rsidRDefault="003875A9">
      <w:pPr>
        <w:rPr>
          <w:rFonts w:ascii="Arial" w:hAnsi="Arial" w:cs="Arial"/>
          <w:sz w:val="24"/>
          <w:szCs w:val="24"/>
        </w:rPr>
      </w:pPr>
      <w:r>
        <w:rPr>
          <w:rFonts w:ascii="Arial" w:hAnsi="Arial" w:cs="Arial"/>
          <w:sz w:val="24"/>
          <w:szCs w:val="24"/>
        </w:rPr>
        <w:br w:type="page"/>
      </w:r>
    </w:p>
    <w:p w:rsidR="006D2701" w:rsidRPr="00F559E1" w:rsidRDefault="00F559E1" w:rsidP="00F559E1">
      <w:pPr>
        <w:pStyle w:val="Heading2"/>
        <w:spacing w:before="0" w:after="240"/>
        <w:rPr>
          <w:rFonts w:ascii="Arial" w:hAnsi="Arial" w:cs="Arial"/>
          <w:color w:val="auto"/>
          <w:sz w:val="28"/>
          <w:szCs w:val="28"/>
        </w:rPr>
      </w:pPr>
      <w:r>
        <w:rPr>
          <w:rFonts w:ascii="Arial" w:hAnsi="Arial" w:cs="Arial"/>
          <w:color w:val="auto"/>
          <w:sz w:val="28"/>
          <w:szCs w:val="28"/>
        </w:rPr>
        <w:lastRenderedPageBreak/>
        <w:t>DRAFT: Outline content of Electricity Capacity Regulations</w:t>
      </w:r>
    </w:p>
    <w:p w:rsidR="006D2701" w:rsidRDefault="00F559E1" w:rsidP="003108A2">
      <w:pPr>
        <w:pStyle w:val="ListParagraph"/>
        <w:numPr>
          <w:ilvl w:val="0"/>
          <w:numId w:val="2"/>
        </w:numPr>
        <w:ind w:left="360" w:hanging="357"/>
        <w:contextualSpacing w:val="0"/>
        <w:rPr>
          <w:rFonts w:ascii="Arial" w:hAnsi="Arial" w:cs="Arial"/>
          <w:b/>
          <w:sz w:val="24"/>
          <w:szCs w:val="24"/>
        </w:rPr>
      </w:pPr>
      <w:r>
        <w:rPr>
          <w:rFonts w:ascii="Arial" w:hAnsi="Arial" w:cs="Arial"/>
          <w:b/>
          <w:sz w:val="24"/>
          <w:szCs w:val="24"/>
        </w:rPr>
        <w:t>Definitio</w:t>
      </w:r>
      <w:r w:rsidR="003108A2">
        <w:rPr>
          <w:rFonts w:ascii="Arial" w:hAnsi="Arial" w:cs="Arial"/>
          <w:b/>
          <w:sz w:val="24"/>
          <w:szCs w:val="24"/>
        </w:rPr>
        <w:t>n of “providing capacity”, “providing electricity” and “reducing demand for electricity”</w:t>
      </w:r>
    </w:p>
    <w:p w:rsidR="006D2701" w:rsidRPr="003108A2" w:rsidRDefault="003108A2" w:rsidP="003108A2">
      <w:pPr>
        <w:pStyle w:val="ListParagraph"/>
        <w:numPr>
          <w:ilvl w:val="0"/>
          <w:numId w:val="2"/>
        </w:numPr>
        <w:ind w:left="357" w:hanging="357"/>
        <w:contextualSpacing w:val="0"/>
        <w:rPr>
          <w:rFonts w:ascii="Arial" w:hAnsi="Arial" w:cs="Arial"/>
          <w:b/>
          <w:sz w:val="24"/>
          <w:szCs w:val="24"/>
        </w:rPr>
      </w:pPr>
      <w:r>
        <w:rPr>
          <w:rFonts w:ascii="Arial" w:hAnsi="Arial" w:cs="Arial"/>
          <w:b/>
          <w:sz w:val="24"/>
          <w:szCs w:val="24"/>
        </w:rPr>
        <w:t>Functions of the Secretary of State</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Duty to decide whether / when to hold / cancel capacity auctions</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Duty to determine volume of capacity</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Appointment of settlement body</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Oversight of settlement body</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Reviews / reports / publication of information</w:t>
      </w:r>
    </w:p>
    <w:p w:rsidR="003108A2" w:rsidRPr="003108A2" w:rsidRDefault="003108A2" w:rsidP="003108A2">
      <w:pPr>
        <w:pStyle w:val="ListParagraph"/>
        <w:numPr>
          <w:ilvl w:val="0"/>
          <w:numId w:val="2"/>
        </w:numPr>
        <w:ind w:left="357" w:hanging="357"/>
        <w:contextualSpacing w:val="0"/>
        <w:rPr>
          <w:rFonts w:ascii="Arial" w:hAnsi="Arial" w:cs="Arial"/>
          <w:b/>
          <w:sz w:val="24"/>
          <w:szCs w:val="24"/>
        </w:rPr>
      </w:pPr>
      <w:r>
        <w:rPr>
          <w:rFonts w:ascii="Arial" w:hAnsi="Arial" w:cs="Arial"/>
          <w:b/>
          <w:sz w:val="24"/>
          <w:szCs w:val="24"/>
        </w:rPr>
        <w:t xml:space="preserve">Power of Authority to make or amend </w:t>
      </w:r>
      <w:r w:rsidR="00C210B1">
        <w:rPr>
          <w:rFonts w:ascii="Arial" w:hAnsi="Arial" w:cs="Arial"/>
          <w:b/>
          <w:sz w:val="24"/>
          <w:szCs w:val="24"/>
        </w:rPr>
        <w:t>C</w:t>
      </w:r>
      <w:r>
        <w:rPr>
          <w:rFonts w:ascii="Arial" w:hAnsi="Arial" w:cs="Arial"/>
          <w:b/>
          <w:sz w:val="24"/>
          <w:szCs w:val="24"/>
        </w:rPr>
        <w:t xml:space="preserve">apacity </w:t>
      </w:r>
      <w:r w:rsidR="00C210B1">
        <w:rPr>
          <w:rFonts w:ascii="Arial" w:hAnsi="Arial" w:cs="Arial"/>
          <w:b/>
          <w:sz w:val="24"/>
          <w:szCs w:val="24"/>
        </w:rPr>
        <w:t>M</w:t>
      </w:r>
      <w:r>
        <w:rPr>
          <w:rFonts w:ascii="Arial" w:hAnsi="Arial" w:cs="Arial"/>
          <w:b/>
          <w:sz w:val="24"/>
          <w:szCs w:val="24"/>
        </w:rPr>
        <w:t>arket rules</w:t>
      </w:r>
    </w:p>
    <w:p w:rsidR="006D2701"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Any exceptions to the power (e.g. for DSR transitional arrangements)</w:t>
      </w:r>
    </w:p>
    <w:p w:rsidR="00C210B1" w:rsidRDefault="00C210B1"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What may trigger a change / amendment to the Capacity Market rules</w:t>
      </w:r>
      <w:r w:rsidR="000F4C72">
        <w:rPr>
          <w:rFonts w:ascii="Arial" w:hAnsi="Arial" w:cs="Arial"/>
          <w:sz w:val="24"/>
          <w:szCs w:val="24"/>
        </w:rPr>
        <w:t>?</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Any restrictions (e.g. that certain provisions can only be amended with Secretary of State’s consent, or limits on the extent to which changes can apply to existing capacity providers)</w:t>
      </w:r>
    </w:p>
    <w:p w:rsidR="003108A2" w:rsidRDefault="003108A2" w:rsidP="003108A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Consultation requirements</w:t>
      </w:r>
    </w:p>
    <w:p w:rsidR="003108A2" w:rsidRDefault="003108A2" w:rsidP="00992F42">
      <w:pPr>
        <w:pStyle w:val="ListParagraph"/>
        <w:numPr>
          <w:ilvl w:val="1"/>
          <w:numId w:val="2"/>
        </w:numPr>
        <w:ind w:left="697" w:hanging="357"/>
        <w:contextualSpacing w:val="0"/>
        <w:rPr>
          <w:rFonts w:ascii="Arial" w:hAnsi="Arial" w:cs="Arial"/>
          <w:sz w:val="24"/>
          <w:szCs w:val="24"/>
        </w:rPr>
      </w:pPr>
      <w:r>
        <w:rPr>
          <w:rFonts w:ascii="Arial" w:hAnsi="Arial" w:cs="Arial"/>
          <w:sz w:val="24"/>
          <w:szCs w:val="24"/>
        </w:rPr>
        <w:t xml:space="preserve">Any other requirements as to the process for amending </w:t>
      </w:r>
      <w:r w:rsidR="00C210B1">
        <w:rPr>
          <w:rFonts w:ascii="Arial" w:hAnsi="Arial" w:cs="Arial"/>
          <w:sz w:val="24"/>
          <w:szCs w:val="24"/>
        </w:rPr>
        <w:t>C</w:t>
      </w:r>
      <w:r>
        <w:rPr>
          <w:rFonts w:ascii="Arial" w:hAnsi="Arial" w:cs="Arial"/>
          <w:sz w:val="24"/>
          <w:szCs w:val="24"/>
        </w:rPr>
        <w:t xml:space="preserve">apacity </w:t>
      </w:r>
      <w:r w:rsidR="00C210B1">
        <w:rPr>
          <w:rFonts w:ascii="Arial" w:hAnsi="Arial" w:cs="Arial"/>
          <w:sz w:val="24"/>
          <w:szCs w:val="24"/>
        </w:rPr>
        <w:t>M</w:t>
      </w:r>
      <w:r>
        <w:rPr>
          <w:rFonts w:ascii="Arial" w:hAnsi="Arial" w:cs="Arial"/>
          <w:sz w:val="24"/>
          <w:szCs w:val="24"/>
        </w:rPr>
        <w:t>arket rules</w:t>
      </w:r>
    </w:p>
    <w:p w:rsidR="003108A2" w:rsidRPr="003108A2" w:rsidRDefault="00992F42" w:rsidP="00992F42">
      <w:pPr>
        <w:pStyle w:val="ListParagraph"/>
        <w:numPr>
          <w:ilvl w:val="0"/>
          <w:numId w:val="2"/>
        </w:numPr>
        <w:ind w:left="360"/>
        <w:contextualSpacing w:val="0"/>
        <w:rPr>
          <w:rFonts w:ascii="Arial" w:hAnsi="Arial" w:cs="Arial"/>
          <w:sz w:val="24"/>
          <w:szCs w:val="24"/>
        </w:rPr>
      </w:pPr>
      <w:r>
        <w:rPr>
          <w:rFonts w:ascii="Arial" w:hAnsi="Arial" w:cs="Arial"/>
          <w:b/>
          <w:sz w:val="24"/>
          <w:szCs w:val="24"/>
        </w:rPr>
        <w:t xml:space="preserve">Duties of the National System Operator </w:t>
      </w:r>
    </w:p>
    <w:p w:rsidR="006D2701" w:rsidRDefault="00992F42" w:rsidP="00992F42">
      <w:pPr>
        <w:ind w:left="360"/>
        <w:rPr>
          <w:rFonts w:ascii="Arial" w:hAnsi="Arial" w:cs="Arial"/>
          <w:sz w:val="24"/>
          <w:szCs w:val="24"/>
        </w:rPr>
      </w:pPr>
      <w:r>
        <w:rPr>
          <w:rFonts w:ascii="Arial" w:hAnsi="Arial" w:cs="Arial"/>
          <w:sz w:val="24"/>
          <w:szCs w:val="24"/>
        </w:rPr>
        <w:t>High-level duties, e.g. to run a capacity auction; function of issuing capacity agreements; to conduct the pre-qualification process</w:t>
      </w:r>
    </w:p>
    <w:p w:rsidR="00992F42" w:rsidRDefault="00992F42" w:rsidP="00992F42">
      <w:pPr>
        <w:pStyle w:val="ListParagraph"/>
        <w:numPr>
          <w:ilvl w:val="0"/>
          <w:numId w:val="2"/>
        </w:numPr>
        <w:ind w:left="357" w:hanging="357"/>
        <w:contextualSpacing w:val="0"/>
        <w:rPr>
          <w:rFonts w:ascii="Arial" w:hAnsi="Arial" w:cs="Arial"/>
          <w:b/>
          <w:sz w:val="24"/>
          <w:szCs w:val="24"/>
        </w:rPr>
      </w:pPr>
      <w:r>
        <w:rPr>
          <w:rFonts w:ascii="Arial" w:hAnsi="Arial" w:cs="Arial"/>
          <w:b/>
          <w:sz w:val="24"/>
          <w:szCs w:val="24"/>
        </w:rPr>
        <w:t>Eligibility to participate in capacity auctions</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Geographical eligibility</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Inclusion of DSR, storage and licence-exempt generators</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Exclusion of CFD and RO plant</w:t>
      </w:r>
    </w:p>
    <w:p w:rsidR="00992F42" w:rsidRDefault="00992F42" w:rsidP="00992F42">
      <w:pPr>
        <w:pStyle w:val="ListParagraph"/>
        <w:numPr>
          <w:ilvl w:val="0"/>
          <w:numId w:val="2"/>
        </w:numPr>
        <w:ind w:left="360"/>
        <w:contextualSpacing w:val="0"/>
        <w:rPr>
          <w:rFonts w:ascii="Arial" w:hAnsi="Arial" w:cs="Arial"/>
          <w:b/>
          <w:sz w:val="24"/>
          <w:szCs w:val="24"/>
        </w:rPr>
      </w:pPr>
      <w:r w:rsidRPr="00992F42">
        <w:rPr>
          <w:rFonts w:ascii="Arial" w:hAnsi="Arial" w:cs="Arial"/>
          <w:b/>
          <w:sz w:val="24"/>
          <w:szCs w:val="24"/>
        </w:rPr>
        <w:t>Payments and settlement</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Duties of settlement body (a government owed public body) and settlement agent (Elexon)</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Data requirements</w:t>
      </w:r>
    </w:p>
    <w:p w:rsidR="00992F42" w:rsidRPr="00992F42" w:rsidRDefault="00992F42" w:rsidP="00992F42">
      <w:pPr>
        <w:pStyle w:val="ListParagraph"/>
        <w:numPr>
          <w:ilvl w:val="1"/>
          <w:numId w:val="2"/>
        </w:numPr>
        <w:ind w:left="700"/>
        <w:contextualSpacing w:val="0"/>
        <w:rPr>
          <w:rFonts w:ascii="Arial" w:hAnsi="Arial" w:cs="Arial"/>
          <w:b/>
          <w:sz w:val="24"/>
          <w:szCs w:val="24"/>
        </w:rPr>
      </w:pPr>
      <w:r>
        <w:rPr>
          <w:rFonts w:ascii="Arial" w:hAnsi="Arial" w:cs="Arial"/>
          <w:sz w:val="24"/>
          <w:szCs w:val="24"/>
        </w:rPr>
        <w:t>Amounts to be calculated:</w:t>
      </w:r>
    </w:p>
    <w:p w:rsidR="00992F42"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lastRenderedPageBreak/>
        <w:t>Supplier charge</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Capacity provider payments</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Capacity provider penalty changes</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Capacity provider over delivery payments</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Penalty residual supplier amount</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Over delivery funding supplier amount</w:t>
      </w:r>
    </w:p>
    <w:p w:rsidR="00CB654F" w:rsidRPr="00CB654F" w:rsidRDefault="00CB654F" w:rsidP="00CB654F">
      <w:pPr>
        <w:pStyle w:val="ListParagraph"/>
        <w:numPr>
          <w:ilvl w:val="2"/>
          <w:numId w:val="2"/>
        </w:numPr>
        <w:ind w:left="1030"/>
        <w:contextualSpacing w:val="0"/>
        <w:rPr>
          <w:rFonts w:ascii="Arial" w:hAnsi="Arial" w:cs="Arial"/>
          <w:b/>
          <w:sz w:val="24"/>
          <w:szCs w:val="24"/>
        </w:rPr>
      </w:pPr>
      <w:r>
        <w:rPr>
          <w:rFonts w:ascii="Arial" w:hAnsi="Arial" w:cs="Arial"/>
          <w:sz w:val="24"/>
          <w:szCs w:val="24"/>
        </w:rPr>
        <w:t>Settlement body’s costs</w:t>
      </w:r>
    </w:p>
    <w:p w:rsidR="00CB654F" w:rsidRPr="00CB654F"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Invoicing, banking and payment</w:t>
      </w:r>
    </w:p>
    <w:p w:rsidR="00CB654F" w:rsidRPr="00CB654F"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Credit requirements</w:t>
      </w:r>
    </w:p>
    <w:p w:rsidR="00CB654F" w:rsidRPr="007E433F"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Reconciliation</w:t>
      </w:r>
    </w:p>
    <w:p w:rsidR="007E433F" w:rsidRPr="00CB654F" w:rsidRDefault="007E433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Debt management and bad debt policy</w:t>
      </w:r>
    </w:p>
    <w:p w:rsidR="00CB654F" w:rsidRPr="00CB654F"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Dispute resolution</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Duties to provide information / advice / reports to the Secretary of State (and Authority)</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Use and protection of information provided under the regulations or rules</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Power of entry [if needed]</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Enforcement of obligations in the regulations</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Appeals to the Authority and the court / tribunal</w:t>
      </w:r>
    </w:p>
    <w:p w:rsidR="00CB654F" w:rsidRDefault="00CB654F" w:rsidP="00CB654F">
      <w:pPr>
        <w:pStyle w:val="ListParagraph"/>
        <w:numPr>
          <w:ilvl w:val="0"/>
          <w:numId w:val="2"/>
        </w:numPr>
        <w:ind w:left="360"/>
        <w:contextualSpacing w:val="0"/>
        <w:rPr>
          <w:rFonts w:ascii="Arial" w:hAnsi="Arial" w:cs="Arial"/>
          <w:b/>
          <w:sz w:val="24"/>
          <w:szCs w:val="24"/>
        </w:rPr>
      </w:pPr>
      <w:r>
        <w:rPr>
          <w:rFonts w:ascii="Arial" w:hAnsi="Arial" w:cs="Arial"/>
          <w:b/>
          <w:sz w:val="24"/>
          <w:szCs w:val="24"/>
        </w:rPr>
        <w:t>Repeals and consequential amendments</w:t>
      </w:r>
    </w:p>
    <w:p w:rsidR="00CB654F" w:rsidRPr="00CB654F"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Repeal of the Authority’s security of supply reporting duty</w:t>
      </w:r>
    </w:p>
    <w:p w:rsidR="00CB654F" w:rsidRPr="00992F42" w:rsidRDefault="00CB654F" w:rsidP="00CB654F">
      <w:pPr>
        <w:pStyle w:val="ListParagraph"/>
        <w:numPr>
          <w:ilvl w:val="1"/>
          <w:numId w:val="2"/>
        </w:numPr>
        <w:ind w:left="700"/>
        <w:contextualSpacing w:val="0"/>
        <w:rPr>
          <w:rFonts w:ascii="Arial" w:hAnsi="Arial" w:cs="Arial"/>
          <w:b/>
          <w:sz w:val="24"/>
          <w:szCs w:val="24"/>
        </w:rPr>
      </w:pPr>
      <w:r>
        <w:rPr>
          <w:rFonts w:ascii="Arial" w:hAnsi="Arial" w:cs="Arial"/>
          <w:sz w:val="24"/>
          <w:szCs w:val="24"/>
        </w:rPr>
        <w:t>Any other consequential amendments to primary or secondary legislation</w:t>
      </w:r>
    </w:p>
    <w:p w:rsidR="00CB654F" w:rsidRDefault="00CB654F">
      <w:pPr>
        <w:rPr>
          <w:rFonts w:ascii="Arial" w:hAnsi="Arial" w:cs="Arial"/>
          <w:sz w:val="24"/>
          <w:szCs w:val="24"/>
        </w:rPr>
      </w:pPr>
      <w:r>
        <w:rPr>
          <w:rFonts w:ascii="Arial" w:hAnsi="Arial" w:cs="Arial"/>
          <w:sz w:val="24"/>
          <w:szCs w:val="24"/>
        </w:rPr>
        <w:br w:type="page"/>
      </w:r>
    </w:p>
    <w:p w:rsidR="00060FBD" w:rsidRPr="00C210B1" w:rsidRDefault="00C210B1" w:rsidP="00C210B1">
      <w:pPr>
        <w:pStyle w:val="Heading2"/>
        <w:spacing w:before="0" w:after="240"/>
        <w:rPr>
          <w:rFonts w:ascii="Arial" w:hAnsi="Arial" w:cs="Arial"/>
          <w:color w:val="auto"/>
          <w:sz w:val="28"/>
          <w:szCs w:val="28"/>
        </w:rPr>
      </w:pPr>
      <w:r>
        <w:rPr>
          <w:rFonts w:ascii="Arial" w:hAnsi="Arial" w:cs="Arial"/>
          <w:color w:val="auto"/>
          <w:sz w:val="28"/>
          <w:szCs w:val="28"/>
        </w:rPr>
        <w:lastRenderedPageBreak/>
        <w:t>DRAFT: Outline content of Capacity Market rules</w:t>
      </w:r>
    </w:p>
    <w:p w:rsidR="00060FBD" w:rsidRDefault="000F4C72" w:rsidP="000F4C72">
      <w:pPr>
        <w:pStyle w:val="ListParagraph"/>
        <w:numPr>
          <w:ilvl w:val="0"/>
          <w:numId w:val="3"/>
        </w:numPr>
        <w:ind w:left="357" w:hanging="357"/>
        <w:contextualSpacing w:val="0"/>
        <w:rPr>
          <w:rFonts w:ascii="Arial" w:hAnsi="Arial" w:cs="Arial"/>
          <w:b/>
          <w:sz w:val="24"/>
          <w:szCs w:val="24"/>
        </w:rPr>
      </w:pPr>
      <w:r>
        <w:rPr>
          <w:rFonts w:ascii="Arial" w:hAnsi="Arial" w:cs="Arial"/>
          <w:b/>
          <w:sz w:val="24"/>
          <w:szCs w:val="24"/>
        </w:rPr>
        <w:t>Definitions (including CM Unit)</w:t>
      </w:r>
    </w:p>
    <w:p w:rsidR="000F4C72" w:rsidRDefault="000F4C72" w:rsidP="000F4C72">
      <w:pPr>
        <w:pStyle w:val="ListParagraph"/>
        <w:numPr>
          <w:ilvl w:val="0"/>
          <w:numId w:val="3"/>
        </w:numPr>
        <w:ind w:left="357" w:hanging="357"/>
        <w:contextualSpacing w:val="0"/>
        <w:rPr>
          <w:rFonts w:ascii="Arial" w:hAnsi="Arial" w:cs="Arial"/>
          <w:b/>
          <w:sz w:val="24"/>
          <w:szCs w:val="24"/>
        </w:rPr>
      </w:pPr>
      <w:r>
        <w:rPr>
          <w:rFonts w:ascii="Arial" w:hAnsi="Arial" w:cs="Arial"/>
          <w:b/>
          <w:sz w:val="24"/>
          <w:szCs w:val="24"/>
        </w:rPr>
        <w:t>Pre-qualification information</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Information to be provided for new, existing and refurbished CM Units and differentiation between these categories</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Timing and process</w:t>
      </w:r>
    </w:p>
    <w:p w:rsidR="000F4C72" w:rsidRDefault="000F4C72" w:rsidP="000F4C72">
      <w:pPr>
        <w:pStyle w:val="ListParagraph"/>
        <w:numPr>
          <w:ilvl w:val="0"/>
          <w:numId w:val="3"/>
        </w:numPr>
        <w:ind w:left="360"/>
        <w:contextualSpacing w:val="0"/>
        <w:rPr>
          <w:rFonts w:ascii="Arial" w:hAnsi="Arial" w:cs="Arial"/>
          <w:b/>
          <w:sz w:val="24"/>
          <w:szCs w:val="24"/>
        </w:rPr>
      </w:pPr>
      <w:r>
        <w:rPr>
          <w:rFonts w:ascii="Arial" w:hAnsi="Arial" w:cs="Arial"/>
          <w:b/>
          <w:sz w:val="24"/>
          <w:szCs w:val="24"/>
        </w:rPr>
        <w:t>Determination of eligibility and de-rating</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Duties of the system operator</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Eligibility criteria (insofar as not in regulations)</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De-rating methodology</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Timing and process</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Effect of determinations</w:t>
      </w:r>
    </w:p>
    <w:p w:rsidR="000F4C72" w:rsidRPr="000F4C72"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Appeals (insofar as not in regulations)</w:t>
      </w:r>
    </w:p>
    <w:p w:rsidR="000F4C72" w:rsidRDefault="000F4C72" w:rsidP="000F4C72">
      <w:pPr>
        <w:pStyle w:val="ListParagraph"/>
        <w:numPr>
          <w:ilvl w:val="0"/>
          <w:numId w:val="3"/>
        </w:numPr>
        <w:ind w:left="360"/>
        <w:contextualSpacing w:val="0"/>
        <w:rPr>
          <w:rFonts w:ascii="Arial" w:hAnsi="Arial" w:cs="Arial"/>
          <w:b/>
          <w:sz w:val="24"/>
          <w:szCs w:val="24"/>
        </w:rPr>
      </w:pPr>
      <w:r>
        <w:rPr>
          <w:rFonts w:ascii="Arial" w:hAnsi="Arial" w:cs="Arial"/>
          <w:b/>
          <w:sz w:val="24"/>
          <w:szCs w:val="24"/>
        </w:rPr>
        <w:t>Capacity auctions</w:t>
      </w:r>
    </w:p>
    <w:p w:rsidR="000F4C72" w:rsidRPr="0084373D" w:rsidRDefault="000F4C72"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 xml:space="preserve">Duties </w:t>
      </w:r>
      <w:r w:rsidR="0084373D">
        <w:rPr>
          <w:rFonts w:ascii="Arial" w:hAnsi="Arial" w:cs="Arial"/>
          <w:sz w:val="24"/>
          <w:szCs w:val="24"/>
        </w:rPr>
        <w:t>of the system operator</w:t>
      </w:r>
    </w:p>
    <w:p w:rsidR="0084373D" w:rsidRPr="0084373D" w:rsidRDefault="0084373D" w:rsidP="000F4C72">
      <w:pPr>
        <w:pStyle w:val="ListParagraph"/>
        <w:numPr>
          <w:ilvl w:val="1"/>
          <w:numId w:val="3"/>
        </w:numPr>
        <w:ind w:left="700"/>
        <w:contextualSpacing w:val="0"/>
        <w:rPr>
          <w:rFonts w:ascii="Arial" w:hAnsi="Arial" w:cs="Arial"/>
          <w:b/>
          <w:sz w:val="24"/>
          <w:szCs w:val="24"/>
        </w:rPr>
      </w:pPr>
      <w:r>
        <w:rPr>
          <w:rFonts w:ascii="Arial" w:hAnsi="Arial" w:cs="Arial"/>
          <w:sz w:val="24"/>
          <w:szCs w:val="24"/>
        </w:rPr>
        <w:t>Rules for auction participants</w:t>
      </w:r>
    </w:p>
    <w:p w:rsidR="0084373D" w:rsidRPr="0084373D" w:rsidRDefault="0084373D" w:rsidP="0084373D">
      <w:pPr>
        <w:pStyle w:val="ListParagraph"/>
        <w:numPr>
          <w:ilvl w:val="0"/>
          <w:numId w:val="3"/>
        </w:numPr>
        <w:ind w:left="360"/>
        <w:contextualSpacing w:val="0"/>
        <w:rPr>
          <w:rFonts w:ascii="Arial" w:hAnsi="Arial" w:cs="Arial"/>
          <w:b/>
          <w:sz w:val="24"/>
          <w:szCs w:val="24"/>
        </w:rPr>
      </w:pPr>
      <w:r>
        <w:rPr>
          <w:rFonts w:ascii="Arial" w:hAnsi="Arial" w:cs="Arial"/>
          <w:b/>
          <w:sz w:val="24"/>
          <w:szCs w:val="24"/>
        </w:rPr>
        <w:t>Capacity agreements</w:t>
      </w:r>
    </w:p>
    <w:p w:rsidR="0084373D" w:rsidRPr="0084373D" w:rsidRDefault="0084373D"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Contents</w:t>
      </w:r>
    </w:p>
    <w:p w:rsidR="0084373D" w:rsidRPr="0084373D" w:rsidRDefault="005F506E"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Who will issue and pr</w:t>
      </w:r>
      <w:r w:rsidR="0084373D">
        <w:rPr>
          <w:rFonts w:ascii="Arial" w:hAnsi="Arial" w:cs="Arial"/>
          <w:sz w:val="24"/>
          <w:szCs w:val="24"/>
        </w:rPr>
        <w:t>ocess for issuing</w:t>
      </w:r>
    </w:p>
    <w:p w:rsidR="0084373D" w:rsidRPr="0084373D" w:rsidRDefault="0084373D"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Effect</w:t>
      </w:r>
    </w:p>
    <w:p w:rsidR="0084373D" w:rsidRPr="0084373D" w:rsidRDefault="0084373D"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Termination</w:t>
      </w:r>
      <w:r w:rsidR="005F506E">
        <w:rPr>
          <w:rFonts w:ascii="Arial" w:hAnsi="Arial" w:cs="Arial"/>
          <w:sz w:val="24"/>
          <w:szCs w:val="24"/>
        </w:rPr>
        <w:t xml:space="preserve"> and enforcement [including who does this]</w:t>
      </w:r>
    </w:p>
    <w:p w:rsidR="0084373D" w:rsidRPr="0084373D" w:rsidRDefault="0084373D" w:rsidP="0084373D">
      <w:pPr>
        <w:pStyle w:val="ListParagraph"/>
        <w:numPr>
          <w:ilvl w:val="2"/>
          <w:numId w:val="3"/>
        </w:numPr>
        <w:ind w:left="1030"/>
        <w:contextualSpacing w:val="0"/>
        <w:rPr>
          <w:rFonts w:ascii="Arial" w:hAnsi="Arial" w:cs="Arial"/>
          <w:b/>
          <w:sz w:val="24"/>
          <w:szCs w:val="24"/>
        </w:rPr>
      </w:pPr>
      <w:r>
        <w:rPr>
          <w:rFonts w:ascii="Arial" w:hAnsi="Arial" w:cs="Arial"/>
          <w:sz w:val="24"/>
          <w:szCs w:val="24"/>
        </w:rPr>
        <w:t>If new plant does not enter operation</w:t>
      </w:r>
    </w:p>
    <w:p w:rsidR="0084373D" w:rsidRPr="0084373D" w:rsidRDefault="0084373D" w:rsidP="0084373D">
      <w:pPr>
        <w:pStyle w:val="ListParagraph"/>
        <w:numPr>
          <w:ilvl w:val="2"/>
          <w:numId w:val="3"/>
        </w:numPr>
        <w:ind w:left="1030"/>
        <w:contextualSpacing w:val="0"/>
        <w:rPr>
          <w:rFonts w:ascii="Arial" w:hAnsi="Arial" w:cs="Arial"/>
          <w:b/>
          <w:sz w:val="24"/>
          <w:szCs w:val="24"/>
        </w:rPr>
      </w:pPr>
      <w:r>
        <w:rPr>
          <w:rFonts w:ascii="Arial" w:hAnsi="Arial" w:cs="Arial"/>
          <w:sz w:val="24"/>
          <w:szCs w:val="24"/>
        </w:rPr>
        <w:t>Insolvency</w:t>
      </w:r>
    </w:p>
    <w:p w:rsidR="0084373D" w:rsidRDefault="0084373D" w:rsidP="0084373D">
      <w:pPr>
        <w:pStyle w:val="ListParagraph"/>
        <w:numPr>
          <w:ilvl w:val="0"/>
          <w:numId w:val="3"/>
        </w:numPr>
        <w:ind w:left="360"/>
        <w:contextualSpacing w:val="0"/>
        <w:rPr>
          <w:rFonts w:ascii="Arial" w:hAnsi="Arial" w:cs="Arial"/>
          <w:b/>
          <w:sz w:val="24"/>
          <w:szCs w:val="24"/>
        </w:rPr>
      </w:pPr>
      <w:r>
        <w:rPr>
          <w:rFonts w:ascii="Arial" w:hAnsi="Arial" w:cs="Arial"/>
          <w:b/>
          <w:sz w:val="24"/>
          <w:szCs w:val="24"/>
        </w:rPr>
        <w:t>Capacity Market register</w:t>
      </w:r>
    </w:p>
    <w:p w:rsidR="0084373D" w:rsidRPr="0084373D" w:rsidRDefault="0084373D"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Duty to keep a register</w:t>
      </w:r>
    </w:p>
    <w:p w:rsidR="0084373D" w:rsidRPr="0084373D" w:rsidRDefault="0084373D" w:rsidP="0084373D">
      <w:pPr>
        <w:pStyle w:val="ListParagraph"/>
        <w:numPr>
          <w:ilvl w:val="1"/>
          <w:numId w:val="3"/>
        </w:numPr>
        <w:ind w:left="700"/>
        <w:contextualSpacing w:val="0"/>
        <w:rPr>
          <w:rFonts w:ascii="Arial" w:hAnsi="Arial" w:cs="Arial"/>
          <w:b/>
          <w:sz w:val="24"/>
          <w:szCs w:val="24"/>
        </w:rPr>
      </w:pPr>
      <w:r>
        <w:rPr>
          <w:rFonts w:ascii="Arial" w:hAnsi="Arial" w:cs="Arial"/>
          <w:sz w:val="24"/>
          <w:szCs w:val="24"/>
        </w:rPr>
        <w:t>Contents of the register</w:t>
      </w:r>
    </w:p>
    <w:p w:rsidR="0084373D" w:rsidRPr="0084373D" w:rsidRDefault="0084373D" w:rsidP="0084373D">
      <w:pPr>
        <w:pStyle w:val="ListParagraph"/>
        <w:numPr>
          <w:ilvl w:val="2"/>
          <w:numId w:val="3"/>
        </w:numPr>
        <w:ind w:left="1030"/>
        <w:contextualSpacing w:val="0"/>
        <w:rPr>
          <w:rFonts w:ascii="Arial" w:hAnsi="Arial" w:cs="Arial"/>
          <w:b/>
          <w:sz w:val="24"/>
          <w:szCs w:val="24"/>
        </w:rPr>
      </w:pPr>
      <w:r>
        <w:rPr>
          <w:rFonts w:ascii="Arial" w:hAnsi="Arial" w:cs="Arial"/>
          <w:sz w:val="24"/>
          <w:szCs w:val="24"/>
        </w:rPr>
        <w:t>Pre-qualified CM Units</w:t>
      </w:r>
    </w:p>
    <w:p w:rsidR="0084373D" w:rsidRPr="0084373D" w:rsidRDefault="0084373D" w:rsidP="0084373D">
      <w:pPr>
        <w:pStyle w:val="ListParagraph"/>
        <w:numPr>
          <w:ilvl w:val="2"/>
          <w:numId w:val="3"/>
        </w:numPr>
        <w:ind w:left="1030"/>
        <w:contextualSpacing w:val="0"/>
        <w:rPr>
          <w:rFonts w:ascii="Arial" w:hAnsi="Arial" w:cs="Arial"/>
          <w:b/>
          <w:sz w:val="24"/>
          <w:szCs w:val="24"/>
        </w:rPr>
      </w:pPr>
      <w:r>
        <w:rPr>
          <w:rFonts w:ascii="Arial" w:hAnsi="Arial" w:cs="Arial"/>
          <w:sz w:val="24"/>
          <w:szCs w:val="24"/>
        </w:rPr>
        <w:lastRenderedPageBreak/>
        <w:t>Capacity agreements</w:t>
      </w:r>
    </w:p>
    <w:p w:rsidR="0084373D" w:rsidRDefault="0084373D" w:rsidP="0084373D">
      <w:pPr>
        <w:pStyle w:val="ListParagraph"/>
        <w:numPr>
          <w:ilvl w:val="0"/>
          <w:numId w:val="3"/>
        </w:numPr>
        <w:ind w:left="360"/>
        <w:contextualSpacing w:val="0"/>
        <w:rPr>
          <w:rFonts w:ascii="Arial" w:hAnsi="Arial" w:cs="Arial"/>
          <w:b/>
          <w:sz w:val="24"/>
          <w:szCs w:val="24"/>
        </w:rPr>
      </w:pPr>
      <w:r>
        <w:rPr>
          <w:rFonts w:ascii="Arial" w:hAnsi="Arial" w:cs="Arial"/>
          <w:b/>
          <w:sz w:val="24"/>
          <w:szCs w:val="24"/>
        </w:rPr>
        <w:t xml:space="preserve">Obligations of capacity </w:t>
      </w:r>
      <w:r w:rsidR="00EA388A">
        <w:rPr>
          <w:rFonts w:ascii="Arial" w:hAnsi="Arial" w:cs="Arial"/>
          <w:b/>
          <w:sz w:val="24"/>
          <w:szCs w:val="24"/>
        </w:rPr>
        <w:t>providers</w:t>
      </w:r>
    </w:p>
    <w:p w:rsidR="00EA388A" w:rsidRPr="00EA388A" w:rsidRDefault="00EA388A" w:rsidP="00EA388A">
      <w:pPr>
        <w:pStyle w:val="ListParagraph"/>
        <w:numPr>
          <w:ilvl w:val="1"/>
          <w:numId w:val="3"/>
        </w:numPr>
        <w:ind w:left="700"/>
        <w:contextualSpacing w:val="0"/>
        <w:rPr>
          <w:rFonts w:ascii="Arial" w:hAnsi="Arial" w:cs="Arial"/>
          <w:b/>
          <w:sz w:val="24"/>
          <w:szCs w:val="24"/>
        </w:rPr>
      </w:pPr>
      <w:r>
        <w:rPr>
          <w:rFonts w:ascii="Arial" w:hAnsi="Arial" w:cs="Arial"/>
          <w:sz w:val="24"/>
          <w:szCs w:val="24"/>
        </w:rPr>
        <w:t>Obligations before the delivery year (e.g. to provide information about meeting construction milestones; to permit inspection of plant)</w:t>
      </w:r>
    </w:p>
    <w:p w:rsidR="00EA388A" w:rsidRPr="00EA388A" w:rsidRDefault="00EA388A" w:rsidP="00EA388A">
      <w:pPr>
        <w:pStyle w:val="ListParagraph"/>
        <w:numPr>
          <w:ilvl w:val="1"/>
          <w:numId w:val="3"/>
        </w:numPr>
        <w:ind w:left="700"/>
        <w:contextualSpacing w:val="0"/>
        <w:rPr>
          <w:rFonts w:ascii="Arial" w:hAnsi="Arial" w:cs="Arial"/>
          <w:b/>
          <w:sz w:val="24"/>
          <w:szCs w:val="24"/>
        </w:rPr>
      </w:pPr>
      <w:r>
        <w:rPr>
          <w:rFonts w:ascii="Arial" w:hAnsi="Arial" w:cs="Arial"/>
          <w:sz w:val="24"/>
          <w:szCs w:val="24"/>
        </w:rPr>
        <w:t>Obligation to provide capacity:</w:t>
      </w:r>
    </w:p>
    <w:p w:rsidR="00EA388A" w:rsidRPr="00EA388A" w:rsidRDefault="00EA388A" w:rsidP="00EA388A">
      <w:pPr>
        <w:pStyle w:val="ListParagraph"/>
        <w:numPr>
          <w:ilvl w:val="2"/>
          <w:numId w:val="3"/>
        </w:numPr>
        <w:ind w:left="1030"/>
        <w:contextualSpacing w:val="0"/>
        <w:rPr>
          <w:rFonts w:ascii="Arial" w:hAnsi="Arial" w:cs="Arial"/>
          <w:b/>
          <w:sz w:val="24"/>
          <w:szCs w:val="24"/>
        </w:rPr>
      </w:pPr>
      <w:r>
        <w:rPr>
          <w:rFonts w:ascii="Arial" w:hAnsi="Arial" w:cs="Arial"/>
          <w:sz w:val="24"/>
          <w:szCs w:val="24"/>
        </w:rPr>
        <w:t>When it applies (i.e. system stress events)</w:t>
      </w:r>
    </w:p>
    <w:p w:rsidR="00EA388A" w:rsidRPr="00EA388A" w:rsidRDefault="00EA388A" w:rsidP="00EA388A">
      <w:pPr>
        <w:pStyle w:val="ListParagraph"/>
        <w:numPr>
          <w:ilvl w:val="2"/>
          <w:numId w:val="3"/>
        </w:numPr>
        <w:ind w:left="1030"/>
        <w:contextualSpacing w:val="0"/>
        <w:rPr>
          <w:rFonts w:ascii="Arial" w:hAnsi="Arial" w:cs="Arial"/>
          <w:b/>
          <w:sz w:val="24"/>
          <w:szCs w:val="24"/>
        </w:rPr>
      </w:pPr>
      <w:r>
        <w:rPr>
          <w:rFonts w:ascii="Arial" w:hAnsi="Arial" w:cs="Arial"/>
          <w:sz w:val="24"/>
          <w:szCs w:val="24"/>
        </w:rPr>
        <w:t>Extent of obligation (i.e. adjusted load-following capacity obligation)</w:t>
      </w:r>
    </w:p>
    <w:p w:rsidR="00EA388A" w:rsidRDefault="00EA388A" w:rsidP="00EA388A">
      <w:pPr>
        <w:pStyle w:val="ListParagraph"/>
        <w:numPr>
          <w:ilvl w:val="0"/>
          <w:numId w:val="3"/>
        </w:numPr>
        <w:ind w:left="360"/>
        <w:contextualSpacing w:val="0"/>
        <w:rPr>
          <w:rFonts w:ascii="Arial" w:hAnsi="Arial" w:cs="Arial"/>
          <w:b/>
          <w:sz w:val="24"/>
          <w:szCs w:val="24"/>
        </w:rPr>
      </w:pPr>
      <w:r>
        <w:rPr>
          <w:rFonts w:ascii="Arial" w:hAnsi="Arial" w:cs="Arial"/>
          <w:b/>
          <w:sz w:val="24"/>
          <w:szCs w:val="24"/>
        </w:rPr>
        <w:t>Trading (and assignment) of capacity obligations</w:t>
      </w:r>
    </w:p>
    <w:p w:rsidR="00EA388A" w:rsidRDefault="00EA388A" w:rsidP="00EA388A">
      <w:pPr>
        <w:pStyle w:val="ListParagraph"/>
        <w:numPr>
          <w:ilvl w:val="0"/>
          <w:numId w:val="3"/>
        </w:numPr>
        <w:ind w:left="360"/>
        <w:contextualSpacing w:val="0"/>
        <w:rPr>
          <w:rFonts w:ascii="Arial" w:hAnsi="Arial" w:cs="Arial"/>
          <w:b/>
          <w:sz w:val="24"/>
          <w:szCs w:val="24"/>
        </w:rPr>
      </w:pPr>
      <w:r>
        <w:rPr>
          <w:rFonts w:ascii="Arial" w:hAnsi="Arial" w:cs="Arial"/>
          <w:b/>
          <w:sz w:val="24"/>
          <w:szCs w:val="24"/>
        </w:rPr>
        <w:t>Capacity incentives</w:t>
      </w:r>
    </w:p>
    <w:p w:rsidR="00EA388A" w:rsidRPr="00EA388A" w:rsidRDefault="00EA388A" w:rsidP="00EA388A">
      <w:pPr>
        <w:pStyle w:val="ListParagraph"/>
        <w:numPr>
          <w:ilvl w:val="1"/>
          <w:numId w:val="3"/>
        </w:numPr>
        <w:ind w:left="700"/>
        <w:contextualSpacing w:val="0"/>
        <w:rPr>
          <w:rFonts w:ascii="Arial" w:hAnsi="Arial" w:cs="Arial"/>
          <w:b/>
          <w:sz w:val="24"/>
          <w:szCs w:val="24"/>
        </w:rPr>
      </w:pPr>
      <w:r>
        <w:rPr>
          <w:rFonts w:ascii="Arial" w:hAnsi="Arial" w:cs="Arial"/>
          <w:sz w:val="24"/>
          <w:szCs w:val="24"/>
        </w:rPr>
        <w:t>Penalty formulae applying during stress events:</w:t>
      </w:r>
    </w:p>
    <w:p w:rsidR="00EA388A" w:rsidRPr="00EA388A" w:rsidRDefault="00EA388A" w:rsidP="00EA388A">
      <w:pPr>
        <w:pStyle w:val="ListParagraph"/>
        <w:numPr>
          <w:ilvl w:val="2"/>
          <w:numId w:val="3"/>
        </w:numPr>
        <w:ind w:left="1030"/>
        <w:contextualSpacing w:val="0"/>
        <w:rPr>
          <w:rFonts w:ascii="Arial" w:hAnsi="Arial" w:cs="Arial"/>
          <w:b/>
          <w:sz w:val="24"/>
          <w:szCs w:val="24"/>
        </w:rPr>
      </w:pPr>
      <w:r>
        <w:rPr>
          <w:rFonts w:ascii="Arial" w:hAnsi="Arial" w:cs="Arial"/>
          <w:sz w:val="24"/>
          <w:szCs w:val="24"/>
        </w:rPr>
        <w:t>&gt;4 hours after a capacity market warning</w:t>
      </w:r>
    </w:p>
    <w:p w:rsidR="00EA388A" w:rsidRPr="00EA388A" w:rsidRDefault="00EA388A" w:rsidP="00EA388A">
      <w:pPr>
        <w:pStyle w:val="ListParagraph"/>
        <w:numPr>
          <w:ilvl w:val="2"/>
          <w:numId w:val="3"/>
        </w:numPr>
        <w:ind w:left="1030"/>
        <w:contextualSpacing w:val="0"/>
        <w:rPr>
          <w:rFonts w:ascii="Arial" w:hAnsi="Arial" w:cs="Arial"/>
          <w:b/>
          <w:sz w:val="24"/>
          <w:szCs w:val="24"/>
        </w:rPr>
      </w:pPr>
      <w:r>
        <w:rPr>
          <w:rFonts w:ascii="Arial" w:hAnsi="Arial" w:cs="Arial"/>
          <w:sz w:val="24"/>
          <w:szCs w:val="24"/>
        </w:rPr>
        <w:t>&lt;4 hours after a capacity market warning</w:t>
      </w:r>
    </w:p>
    <w:p w:rsidR="00EA388A" w:rsidRPr="00EA388A" w:rsidRDefault="00EA388A" w:rsidP="00EA388A">
      <w:pPr>
        <w:pStyle w:val="ListParagraph"/>
        <w:numPr>
          <w:ilvl w:val="1"/>
          <w:numId w:val="3"/>
        </w:numPr>
        <w:ind w:left="700"/>
        <w:contextualSpacing w:val="0"/>
        <w:rPr>
          <w:rFonts w:ascii="Arial" w:hAnsi="Arial" w:cs="Arial"/>
          <w:b/>
          <w:sz w:val="24"/>
          <w:szCs w:val="24"/>
        </w:rPr>
      </w:pPr>
      <w:r>
        <w:rPr>
          <w:rFonts w:ascii="Arial" w:hAnsi="Arial" w:cs="Arial"/>
          <w:sz w:val="24"/>
          <w:szCs w:val="24"/>
        </w:rPr>
        <w:t>Penalties for new plant which are late entering operation</w:t>
      </w:r>
    </w:p>
    <w:p w:rsidR="00EA388A" w:rsidRPr="00B778B2" w:rsidRDefault="00EA388A" w:rsidP="00B778B2">
      <w:pPr>
        <w:pStyle w:val="ListParagraph"/>
        <w:numPr>
          <w:ilvl w:val="1"/>
          <w:numId w:val="3"/>
        </w:numPr>
        <w:ind w:left="700"/>
        <w:contextualSpacing w:val="0"/>
        <w:rPr>
          <w:rFonts w:ascii="Arial" w:hAnsi="Arial" w:cs="Arial"/>
          <w:b/>
          <w:sz w:val="24"/>
          <w:szCs w:val="24"/>
        </w:rPr>
      </w:pPr>
      <w:r>
        <w:rPr>
          <w:rFonts w:ascii="Arial" w:hAnsi="Arial" w:cs="Arial"/>
          <w:sz w:val="24"/>
          <w:szCs w:val="24"/>
        </w:rPr>
        <w:t>Duties of the national system operator</w:t>
      </w:r>
    </w:p>
    <w:p w:rsidR="00B778B2" w:rsidRPr="00B778B2" w:rsidRDefault="00B778B2" w:rsidP="00B778B2">
      <w:pPr>
        <w:pStyle w:val="ListParagraph"/>
        <w:numPr>
          <w:ilvl w:val="2"/>
          <w:numId w:val="3"/>
        </w:numPr>
        <w:ind w:left="1030"/>
        <w:contextualSpacing w:val="0"/>
        <w:rPr>
          <w:rFonts w:ascii="Arial" w:hAnsi="Arial" w:cs="Arial"/>
          <w:b/>
          <w:sz w:val="24"/>
          <w:szCs w:val="24"/>
        </w:rPr>
      </w:pPr>
      <w:r>
        <w:rPr>
          <w:rFonts w:ascii="Arial" w:hAnsi="Arial" w:cs="Arial"/>
          <w:sz w:val="24"/>
          <w:szCs w:val="24"/>
        </w:rPr>
        <w:t>Issuing capacity market warning</w:t>
      </w:r>
    </w:p>
    <w:p w:rsidR="00B778B2" w:rsidRPr="00B778B2" w:rsidRDefault="00B778B2" w:rsidP="00B778B2">
      <w:pPr>
        <w:pStyle w:val="ListParagraph"/>
        <w:numPr>
          <w:ilvl w:val="2"/>
          <w:numId w:val="3"/>
        </w:numPr>
        <w:ind w:left="1030"/>
        <w:contextualSpacing w:val="0"/>
        <w:rPr>
          <w:rFonts w:ascii="Arial" w:hAnsi="Arial" w:cs="Arial"/>
          <w:b/>
          <w:sz w:val="24"/>
          <w:szCs w:val="24"/>
        </w:rPr>
      </w:pPr>
      <w:r>
        <w:rPr>
          <w:rFonts w:ascii="Arial" w:hAnsi="Arial" w:cs="Arial"/>
          <w:sz w:val="24"/>
          <w:szCs w:val="24"/>
        </w:rPr>
        <w:t>Determining the cause of periods of demand reduction</w:t>
      </w:r>
    </w:p>
    <w:p w:rsid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Restrictions on opted-out plant or plant unsuccessful in capacity auction</w:t>
      </w:r>
    </w:p>
    <w:p w:rsidR="00B778B2" w:rsidRP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DSR transitional arrangements [</w:t>
      </w:r>
      <w:r>
        <w:rPr>
          <w:rFonts w:ascii="Arial" w:hAnsi="Arial" w:cs="Arial"/>
          <w:b/>
          <w:i/>
          <w:sz w:val="24"/>
          <w:szCs w:val="24"/>
        </w:rPr>
        <w:t>note: not for October consultation and possibly not for the rules]</w:t>
      </w:r>
    </w:p>
    <w:p w:rsidR="00B778B2" w:rsidRP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Monitoring</w:t>
      </w:r>
    </w:p>
    <w:p w:rsidR="00B778B2" w:rsidRPr="00B778B2" w:rsidRDefault="00B778B2" w:rsidP="00B778B2">
      <w:pPr>
        <w:pStyle w:val="ListParagraph"/>
        <w:numPr>
          <w:ilvl w:val="1"/>
          <w:numId w:val="3"/>
        </w:numPr>
        <w:ind w:left="700"/>
        <w:contextualSpacing w:val="0"/>
        <w:rPr>
          <w:rFonts w:ascii="Arial" w:hAnsi="Arial" w:cs="Arial"/>
          <w:b/>
          <w:sz w:val="24"/>
          <w:szCs w:val="24"/>
        </w:rPr>
      </w:pPr>
      <w:r>
        <w:rPr>
          <w:rFonts w:ascii="Arial" w:hAnsi="Arial" w:cs="Arial"/>
          <w:sz w:val="24"/>
          <w:szCs w:val="24"/>
        </w:rPr>
        <w:t>Duties or powers of [national system operator?] [xxx] to inspect or test plant</w:t>
      </w:r>
    </w:p>
    <w:p w:rsidR="00B778B2" w:rsidRPr="00B778B2" w:rsidRDefault="00B778B2" w:rsidP="00B778B2">
      <w:pPr>
        <w:pStyle w:val="ListParagraph"/>
        <w:numPr>
          <w:ilvl w:val="1"/>
          <w:numId w:val="3"/>
        </w:numPr>
        <w:ind w:left="700"/>
        <w:contextualSpacing w:val="0"/>
        <w:rPr>
          <w:rFonts w:ascii="Arial" w:hAnsi="Arial" w:cs="Arial"/>
          <w:b/>
          <w:sz w:val="24"/>
          <w:szCs w:val="24"/>
        </w:rPr>
      </w:pPr>
      <w:r>
        <w:rPr>
          <w:rFonts w:ascii="Arial" w:hAnsi="Arial" w:cs="Arial"/>
          <w:sz w:val="24"/>
          <w:szCs w:val="24"/>
        </w:rPr>
        <w:t>Duties to provide information for monitoring purposes</w:t>
      </w:r>
    </w:p>
    <w:p w:rsid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Disputes and appeals (insofar as not in regulations)</w:t>
      </w:r>
    </w:p>
    <w:p w:rsid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Enforcement of obligations in the capacity market rules</w:t>
      </w:r>
    </w:p>
    <w:p w:rsidR="007E433F" w:rsidRDefault="007E433F"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Testing regime</w:t>
      </w:r>
    </w:p>
    <w:p w:rsidR="00B778B2" w:rsidRPr="00B778B2" w:rsidRDefault="00B778B2" w:rsidP="00B778B2">
      <w:pPr>
        <w:pStyle w:val="ListParagraph"/>
        <w:numPr>
          <w:ilvl w:val="0"/>
          <w:numId w:val="3"/>
        </w:numPr>
        <w:ind w:left="360"/>
        <w:contextualSpacing w:val="0"/>
        <w:rPr>
          <w:rFonts w:ascii="Arial" w:hAnsi="Arial" w:cs="Arial"/>
          <w:b/>
          <w:sz w:val="24"/>
          <w:szCs w:val="24"/>
        </w:rPr>
      </w:pPr>
      <w:r>
        <w:rPr>
          <w:rFonts w:ascii="Arial" w:hAnsi="Arial" w:cs="Arial"/>
          <w:b/>
          <w:sz w:val="24"/>
          <w:szCs w:val="24"/>
        </w:rPr>
        <w:t>Miscellaneous, e.g. service of notices</w:t>
      </w:r>
    </w:p>
    <w:p w:rsidR="00060FBD" w:rsidRPr="00060FBD" w:rsidRDefault="00060FBD">
      <w:pPr>
        <w:rPr>
          <w:rFonts w:ascii="Arial" w:hAnsi="Arial" w:cs="Arial"/>
          <w:sz w:val="24"/>
          <w:szCs w:val="24"/>
        </w:rPr>
      </w:pPr>
    </w:p>
    <w:sectPr w:rsidR="00060FBD" w:rsidRPr="00060FBD">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B74" w:rsidRDefault="00BB3B74" w:rsidP="00BB3B74">
      <w:pPr>
        <w:spacing w:after="0" w:line="240" w:lineRule="auto"/>
      </w:pPr>
      <w:r>
        <w:separator/>
      </w:r>
    </w:p>
  </w:endnote>
  <w:endnote w:type="continuationSeparator" w:id="0">
    <w:p w:rsidR="00BB3B74" w:rsidRDefault="00BB3B74" w:rsidP="00BB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941817"/>
      <w:docPartObj>
        <w:docPartGallery w:val="Page Numbers (Bottom of Page)"/>
        <w:docPartUnique/>
      </w:docPartObj>
    </w:sdtPr>
    <w:sdtEndPr>
      <w:rPr>
        <w:noProof/>
      </w:rPr>
    </w:sdtEndPr>
    <w:sdtContent>
      <w:p w:rsidR="00BB3B74" w:rsidRDefault="00BB3B74">
        <w:pPr>
          <w:pStyle w:val="Footer"/>
          <w:jc w:val="right"/>
        </w:pPr>
        <w:r>
          <w:fldChar w:fldCharType="begin"/>
        </w:r>
        <w:r>
          <w:instrText xml:space="preserve"> PAGE   \* MERGEFORMAT </w:instrText>
        </w:r>
        <w:r>
          <w:fldChar w:fldCharType="separate"/>
        </w:r>
        <w:r w:rsidR="008162E6">
          <w:rPr>
            <w:noProof/>
          </w:rPr>
          <w:t>5</w:t>
        </w:r>
        <w:r>
          <w:rPr>
            <w:noProof/>
          </w:rPr>
          <w:fldChar w:fldCharType="end"/>
        </w:r>
      </w:p>
    </w:sdtContent>
  </w:sdt>
  <w:p w:rsidR="00BB3B74" w:rsidRDefault="008162E6">
    <w:pPr>
      <w:pStyle w:val="Footer"/>
    </w:pPr>
    <w:r w:rsidRPr="008162E6">
      <w:t>Expert Group papers are not a statement of Government policy or policy intent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B74" w:rsidRDefault="00BB3B74" w:rsidP="00BB3B74">
      <w:pPr>
        <w:spacing w:after="0" w:line="240" w:lineRule="auto"/>
      </w:pPr>
      <w:r>
        <w:separator/>
      </w:r>
    </w:p>
  </w:footnote>
  <w:footnote w:type="continuationSeparator" w:id="0">
    <w:p w:rsidR="00BB3B74" w:rsidRDefault="00BB3B74" w:rsidP="00BB3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1A4" w:rsidRDefault="005941A4">
    <w:pPr>
      <w:pStyle w:val="Header"/>
    </w:pPr>
    <w: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53B61"/>
    <w:multiLevelType w:val="hybridMultilevel"/>
    <w:tmpl w:val="37F6413E"/>
    <w:lvl w:ilvl="0" w:tplc="1C16BC4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6165518"/>
    <w:multiLevelType w:val="hybridMultilevel"/>
    <w:tmpl w:val="028E80C0"/>
    <w:lvl w:ilvl="0" w:tplc="0809000F">
      <w:start w:val="1"/>
      <w:numFmt w:val="decimal"/>
      <w:lvlText w:val="%1."/>
      <w:lvlJc w:val="left"/>
      <w:pPr>
        <w:ind w:left="720" w:hanging="360"/>
      </w:pPr>
      <w:rPr>
        <w:rFonts w:hint="default"/>
      </w:rPr>
    </w:lvl>
    <w:lvl w:ilvl="1" w:tplc="5CE88E1A">
      <w:start w:val="1"/>
      <w:numFmt w:val="lowerLetter"/>
      <w:lvlText w:val="%2."/>
      <w:lvlJc w:val="left"/>
      <w:pPr>
        <w:ind w:left="1440" w:hanging="360"/>
      </w:pPr>
      <w:rPr>
        <w:b w:val="0"/>
      </w:rPr>
    </w:lvl>
    <w:lvl w:ilvl="2" w:tplc="D51C4D5A">
      <w:start w:val="1"/>
      <w:numFmt w:val="lowerRoman"/>
      <w:lvlText w:val="%3."/>
      <w:lvlJc w:val="right"/>
      <w:pPr>
        <w:ind w:left="2160" w:hanging="180"/>
      </w:pPr>
      <w:rPr>
        <w:b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351FDE"/>
    <w:multiLevelType w:val="hybridMultilevel"/>
    <w:tmpl w:val="755A6DBC"/>
    <w:lvl w:ilvl="0" w:tplc="DFAC4408">
      <w:start w:val="1"/>
      <w:numFmt w:val="decimal"/>
      <w:lvlText w:val="%1."/>
      <w:lvlJc w:val="left"/>
      <w:pPr>
        <w:ind w:left="720" w:hanging="360"/>
      </w:pPr>
      <w:rPr>
        <w:rFonts w:hint="default"/>
        <w:b/>
      </w:rPr>
    </w:lvl>
    <w:lvl w:ilvl="1" w:tplc="5F9A283E">
      <w:start w:val="1"/>
      <w:numFmt w:val="lowerLetter"/>
      <w:lvlText w:val="%2."/>
      <w:lvlJc w:val="left"/>
      <w:pPr>
        <w:ind w:left="1440" w:hanging="360"/>
      </w:pPr>
      <w:rPr>
        <w:b w:val="0"/>
      </w:rPr>
    </w:lvl>
    <w:lvl w:ilvl="2" w:tplc="5456BA8E">
      <w:start w:val="1"/>
      <w:numFmt w:val="lowerRoman"/>
      <w:lvlText w:val="%3."/>
      <w:lvlJc w:val="right"/>
      <w:pPr>
        <w:ind w:left="2160" w:hanging="180"/>
      </w:pPr>
      <w:rPr>
        <w:b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BD"/>
    <w:rsid w:val="0000615F"/>
    <w:rsid w:val="00060FBD"/>
    <w:rsid w:val="000F4C72"/>
    <w:rsid w:val="00134ACB"/>
    <w:rsid w:val="001C1E83"/>
    <w:rsid w:val="00255FFF"/>
    <w:rsid w:val="003108A2"/>
    <w:rsid w:val="003875A9"/>
    <w:rsid w:val="00396552"/>
    <w:rsid w:val="004258A4"/>
    <w:rsid w:val="00523380"/>
    <w:rsid w:val="005941A4"/>
    <w:rsid w:val="005F506E"/>
    <w:rsid w:val="00694B19"/>
    <w:rsid w:val="006D2701"/>
    <w:rsid w:val="007B726C"/>
    <w:rsid w:val="007E433F"/>
    <w:rsid w:val="007F0EB9"/>
    <w:rsid w:val="008162E6"/>
    <w:rsid w:val="0084373D"/>
    <w:rsid w:val="008B3AA2"/>
    <w:rsid w:val="00917AA2"/>
    <w:rsid w:val="00972486"/>
    <w:rsid w:val="00992F42"/>
    <w:rsid w:val="009F5AEF"/>
    <w:rsid w:val="00A6350C"/>
    <w:rsid w:val="00B437EB"/>
    <w:rsid w:val="00B778B2"/>
    <w:rsid w:val="00BB3B74"/>
    <w:rsid w:val="00C210B1"/>
    <w:rsid w:val="00CB0ADD"/>
    <w:rsid w:val="00CB654F"/>
    <w:rsid w:val="00E9674C"/>
    <w:rsid w:val="00EA388A"/>
    <w:rsid w:val="00EB5EE9"/>
    <w:rsid w:val="00EE0AA4"/>
    <w:rsid w:val="00EF0BC3"/>
    <w:rsid w:val="00F37311"/>
    <w:rsid w:val="00F559E1"/>
    <w:rsid w:val="00FA4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3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3B7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B7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B3B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3B7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B3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B74"/>
  </w:style>
  <w:style w:type="paragraph" w:styleId="Footer">
    <w:name w:val="footer"/>
    <w:basedOn w:val="Normal"/>
    <w:link w:val="FooterChar"/>
    <w:uiPriority w:val="99"/>
    <w:unhideWhenUsed/>
    <w:rsid w:val="00BB3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B74"/>
  </w:style>
  <w:style w:type="character" w:customStyle="1" w:styleId="Heading2Char">
    <w:name w:val="Heading 2 Char"/>
    <w:basedOn w:val="DefaultParagraphFont"/>
    <w:link w:val="Heading2"/>
    <w:uiPriority w:val="9"/>
    <w:rsid w:val="00BB3B7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F0B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58A4"/>
    <w:pPr>
      <w:ind w:left="720"/>
      <w:contextualSpacing/>
    </w:pPr>
  </w:style>
  <w:style w:type="paragraph" w:styleId="BalloonText">
    <w:name w:val="Balloon Text"/>
    <w:basedOn w:val="Normal"/>
    <w:link w:val="BalloonTextChar"/>
    <w:uiPriority w:val="99"/>
    <w:semiHidden/>
    <w:unhideWhenUsed/>
    <w:rsid w:val="005233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3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3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3B7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B7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B3B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3B7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B3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B74"/>
  </w:style>
  <w:style w:type="paragraph" w:styleId="Footer">
    <w:name w:val="footer"/>
    <w:basedOn w:val="Normal"/>
    <w:link w:val="FooterChar"/>
    <w:uiPriority w:val="99"/>
    <w:unhideWhenUsed/>
    <w:rsid w:val="00BB3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B74"/>
  </w:style>
  <w:style w:type="character" w:customStyle="1" w:styleId="Heading2Char">
    <w:name w:val="Heading 2 Char"/>
    <w:basedOn w:val="DefaultParagraphFont"/>
    <w:link w:val="Heading2"/>
    <w:uiPriority w:val="9"/>
    <w:rsid w:val="00BB3B7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F0B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58A4"/>
    <w:pPr>
      <w:ind w:left="720"/>
      <w:contextualSpacing/>
    </w:pPr>
  </w:style>
  <w:style w:type="paragraph" w:styleId="BalloonText">
    <w:name w:val="Balloon Text"/>
    <w:basedOn w:val="Normal"/>
    <w:link w:val="BalloonTextChar"/>
    <w:uiPriority w:val="99"/>
    <w:semiHidden/>
    <w:unhideWhenUsed/>
    <w:rsid w:val="005233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396F8-42DE-42FF-9796-717736F31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46A6F572</Template>
  <TotalTime>1</TotalTime>
  <Pages>5</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Lochhead Will (Energy Markets and Networks)</dc:creator>
  <cp:lastModifiedBy>David Balding(Energy Markets and Networks)</cp:lastModifiedBy>
  <cp:revision>3</cp:revision>
  <cp:lastPrinted>2013-07-01T08:43:00Z</cp:lastPrinted>
  <dcterms:created xsi:type="dcterms:W3CDTF">2013-07-04T15:19:00Z</dcterms:created>
  <dcterms:modified xsi:type="dcterms:W3CDTF">2013-07-22T11:33:00Z</dcterms:modified>
</cp:coreProperties>
</file>